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E2B5AF">
      <w:pPr>
        <w:adjustRightInd w:val="0"/>
        <w:snapToGrid w:val="0"/>
        <w:spacing w:line="620" w:lineRule="exact"/>
        <w:jc w:val="center"/>
        <w:rPr>
          <w:rFonts w:ascii="方正粗黑宋简体" w:hAnsi="方正粗黑宋简体" w:eastAsia="方正粗黑宋简体" w:cs="方正粗黑宋简体"/>
          <w:color w:val="000000"/>
          <w:sz w:val="36"/>
          <w:szCs w:val="36"/>
          <w:u w:val="single"/>
        </w:rPr>
      </w:pPr>
      <w:r>
        <w:rPr>
          <w:rFonts w:hint="eastAsia" w:ascii="方正粗黑宋简体" w:hAnsi="方正粗黑宋简体" w:eastAsia="方正粗黑宋简体" w:cs="方正粗黑宋简体"/>
          <w:color w:val="000000"/>
          <w:sz w:val="36"/>
          <w:szCs w:val="36"/>
          <w:u w:val="single"/>
        </w:rPr>
        <w:t>昆明城市污水处理运营有限责任公司</w:t>
      </w:r>
    </w:p>
    <w:p w14:paraId="320EABC8">
      <w:pPr>
        <w:adjustRightInd w:val="0"/>
        <w:snapToGrid w:val="0"/>
        <w:spacing w:line="620" w:lineRule="exact"/>
        <w:jc w:val="center"/>
        <w:rPr>
          <w:rFonts w:ascii="方正粗黑宋简体" w:hAnsi="方正粗黑宋简体" w:eastAsia="方正粗黑宋简体" w:cs="方正粗黑宋简体"/>
          <w:sz w:val="36"/>
          <w:szCs w:val="36"/>
        </w:rPr>
      </w:pPr>
      <w:r>
        <w:rPr>
          <w:rFonts w:hint="eastAsia" w:ascii="方正粗黑宋简体" w:hAnsi="方正粗黑宋简体" w:eastAsia="方正粗黑宋简体" w:cs="方正粗黑宋简体"/>
          <w:color w:val="000000"/>
          <w:sz w:val="36"/>
          <w:szCs w:val="36"/>
          <w:u w:val="single"/>
        </w:rPr>
        <w:t>2026年度车辆保险采购项目（二次）</w:t>
      </w:r>
      <w:r>
        <w:rPr>
          <w:rFonts w:hint="eastAsia" w:ascii="方正粗黑宋简体" w:hAnsi="方正粗黑宋简体" w:eastAsia="方正粗黑宋简体" w:cs="方正粗黑宋简体"/>
          <w:sz w:val="36"/>
          <w:szCs w:val="36"/>
        </w:rPr>
        <w:t>询价比选公告</w:t>
      </w:r>
    </w:p>
    <w:p w14:paraId="3D325315">
      <w:pPr>
        <w:tabs>
          <w:tab w:val="left" w:pos="540"/>
        </w:tabs>
        <w:adjustRightInd w:val="0"/>
        <w:snapToGrid w:val="0"/>
        <w:spacing w:line="360" w:lineRule="auto"/>
        <w:ind w:firstLine="482" w:firstLineChars="200"/>
        <w:rPr>
          <w:rFonts w:ascii="宋体" w:hAnsi="宋体" w:cs="宋体"/>
          <w:b/>
          <w:sz w:val="24"/>
        </w:rPr>
      </w:pPr>
    </w:p>
    <w:p w14:paraId="1F6504E7">
      <w:pPr>
        <w:tabs>
          <w:tab w:val="left" w:pos="540"/>
        </w:tabs>
        <w:adjustRightInd w:val="0"/>
        <w:snapToGrid w:val="0"/>
        <w:spacing w:line="580" w:lineRule="exact"/>
        <w:ind w:firstLine="640" w:firstLineChars="200"/>
        <w:rPr>
          <w:rFonts w:ascii="黑体" w:hAnsi="黑体" w:eastAsia="黑体" w:cs="黑体"/>
          <w:bCs/>
          <w:sz w:val="32"/>
          <w:szCs w:val="32"/>
        </w:rPr>
      </w:pPr>
      <w:r>
        <w:rPr>
          <w:rFonts w:hint="eastAsia" w:ascii="黑体" w:hAnsi="黑体" w:eastAsia="黑体" w:cs="黑体"/>
          <w:bCs/>
          <w:sz w:val="32"/>
          <w:szCs w:val="32"/>
        </w:rPr>
        <w:t>1.项目概况</w:t>
      </w:r>
    </w:p>
    <w:p w14:paraId="4A49B44C">
      <w:pPr>
        <w:adjustRightInd w:val="0"/>
        <w:snapToGrid w:val="0"/>
        <w:spacing w:line="580" w:lineRule="exact"/>
        <w:ind w:firstLine="640" w:firstLineChars="200"/>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rPr>
        <w:t>1.1比选项目名称：昆明城市污水处理运营有限责任公司2026年度车辆保险采购项目</w:t>
      </w:r>
      <w:r>
        <w:rPr>
          <w:rFonts w:hint="eastAsia" w:ascii="仿宋_GB2312" w:hAnsi="仿宋_GB2312" w:eastAsia="仿宋_GB2312" w:cs="仿宋_GB2312"/>
          <w:bCs/>
          <w:sz w:val="32"/>
          <w:szCs w:val="32"/>
          <w:lang w:eastAsia="zh-CN"/>
        </w:rPr>
        <w:t>。</w:t>
      </w:r>
    </w:p>
    <w:p w14:paraId="51593A98">
      <w:pPr>
        <w:adjustRightInd w:val="0"/>
        <w:snapToGrid w:val="0"/>
        <w:spacing w:line="580" w:lineRule="exact"/>
        <w:ind w:firstLine="640" w:firstLineChars="200"/>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rPr>
        <w:t>1.2比选单位全称：昆明城市污水处理运营有限责任公司</w:t>
      </w:r>
      <w:r>
        <w:rPr>
          <w:rFonts w:hint="eastAsia" w:ascii="仿宋_GB2312" w:hAnsi="仿宋_GB2312" w:eastAsia="仿宋_GB2312" w:cs="仿宋_GB2312"/>
          <w:bCs/>
          <w:sz w:val="32"/>
          <w:szCs w:val="32"/>
          <w:lang w:eastAsia="zh-CN"/>
        </w:rPr>
        <w:t>。</w:t>
      </w:r>
    </w:p>
    <w:p w14:paraId="0D8A1965">
      <w:pPr>
        <w:adjustRightInd w:val="0"/>
        <w:snapToGrid w:val="0"/>
        <w:spacing w:line="58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1.3合作期限：2026年2月至2027年2月，共一年，以合同签订时间为准。</w:t>
      </w:r>
    </w:p>
    <w:p w14:paraId="61581D20">
      <w:pPr>
        <w:spacing w:line="580" w:lineRule="exact"/>
        <w:ind w:firstLine="640" w:firstLineChars="200"/>
        <w:outlineLvl w:val="0"/>
        <w:rPr>
          <w:sz w:val="32"/>
          <w:szCs w:val="32"/>
        </w:rPr>
      </w:pPr>
      <w:r>
        <w:rPr>
          <w:rFonts w:hint="eastAsia" w:ascii="仿宋_GB2312" w:hAnsi="仿宋_GB2312" w:eastAsia="仿宋_GB2312" w:cs="仿宋_GB2312"/>
          <w:bCs/>
          <w:sz w:val="32"/>
          <w:szCs w:val="32"/>
        </w:rPr>
        <w:t>1.4项目内容：</w:t>
      </w:r>
      <w:bookmarkStart w:id="4" w:name="_GoBack"/>
      <w:r>
        <w:rPr>
          <w:rFonts w:hint="eastAsia" w:ascii="仿宋_GB2312" w:hAnsi="仿宋_GB2312" w:eastAsia="仿宋_GB2312" w:cs="仿宋_GB2312"/>
          <w:bCs/>
          <w:color w:val="000000"/>
          <w:sz w:val="32"/>
          <w:szCs w:val="32"/>
        </w:rPr>
        <w:t>45辆燃油车，1辆电车</w:t>
      </w:r>
      <w:bookmarkEnd w:id="4"/>
      <w:r>
        <w:rPr>
          <w:rFonts w:hint="eastAsia" w:ascii="仿宋_GB2312" w:hAnsi="仿宋_GB2312" w:eastAsia="仿宋_GB2312" w:cs="仿宋_GB2312"/>
          <w:bCs/>
          <w:color w:val="000000"/>
          <w:sz w:val="32"/>
          <w:szCs w:val="32"/>
        </w:rPr>
        <w:t>，共46辆车。</w:t>
      </w:r>
      <w:r>
        <w:rPr>
          <w:rFonts w:hint="eastAsia" w:ascii="仿宋_GB2312" w:hAnsi="仿宋_GB2312" w:eastAsia="仿宋_GB2312" w:cs="仿宋_GB2312"/>
          <w:bCs/>
          <w:sz w:val="32"/>
          <w:szCs w:val="32"/>
        </w:rPr>
        <w:t>采购</w:t>
      </w:r>
      <w:r>
        <w:rPr>
          <w:rFonts w:hint="eastAsia" w:ascii="仿宋_GB2312" w:hAnsi="仿宋_GB2312" w:eastAsia="仿宋_GB2312" w:cs="仿宋_GB2312"/>
          <w:color w:val="000000"/>
          <w:sz w:val="32"/>
          <w:szCs w:val="32"/>
        </w:rPr>
        <w:t>投保险种包括（1）交强险：按国家规定。（2）商业保险：①机动车辆损失险；②第三者责任险：300万元/车；③车上人员责任险：按核定座位投保，按不低于5万元/座起保；（3）增值服务等。</w:t>
      </w:r>
    </w:p>
    <w:p w14:paraId="6A607907">
      <w:pPr>
        <w:spacing w:line="580" w:lineRule="exact"/>
        <w:ind w:firstLine="640" w:firstLineChars="200"/>
        <w:outlineLvl w:val="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1.5预算金额：</w:t>
      </w:r>
      <w:r>
        <w:rPr>
          <w:rFonts w:hint="eastAsia" w:ascii="仿宋_GB2312" w:hAnsi="仿宋_GB2312" w:eastAsia="仿宋_GB2312" w:cs="仿宋_GB2312"/>
          <w:bCs/>
          <w:color w:val="000000"/>
          <w:sz w:val="32"/>
          <w:szCs w:val="32"/>
        </w:rPr>
        <w:t>交强险和商业险采购项目，采购预算不高于8.5万元</w:t>
      </w:r>
      <w:r>
        <w:rPr>
          <w:rFonts w:hint="eastAsia" w:ascii="仿宋_GB2312" w:hAnsi="仿宋_GB2312" w:eastAsia="仿宋_GB2312" w:cs="仿宋_GB2312"/>
          <w:bCs/>
          <w:sz w:val="32"/>
          <w:szCs w:val="32"/>
        </w:rPr>
        <w:t>。</w:t>
      </w:r>
    </w:p>
    <w:p w14:paraId="63588EE7">
      <w:pPr>
        <w:tabs>
          <w:tab w:val="left" w:pos="540"/>
        </w:tabs>
        <w:adjustRightInd w:val="0"/>
        <w:snapToGrid w:val="0"/>
        <w:spacing w:line="580" w:lineRule="exact"/>
        <w:ind w:firstLine="640" w:firstLineChars="200"/>
        <w:rPr>
          <w:rFonts w:ascii="黑体" w:hAnsi="黑体" w:eastAsia="黑体" w:cs="黑体"/>
          <w:bCs/>
          <w:sz w:val="32"/>
          <w:szCs w:val="32"/>
        </w:rPr>
      </w:pPr>
      <w:r>
        <w:rPr>
          <w:rFonts w:hint="eastAsia" w:ascii="黑体" w:hAnsi="黑体" w:eastAsia="黑体" w:cs="黑体"/>
          <w:bCs/>
          <w:sz w:val="32"/>
          <w:szCs w:val="32"/>
        </w:rPr>
        <w:t>2.资格要求</w:t>
      </w:r>
    </w:p>
    <w:p w14:paraId="034AA53E">
      <w:pPr>
        <w:spacing w:line="580" w:lineRule="exact"/>
        <w:ind w:firstLine="640" w:firstLineChars="200"/>
        <w:outlineLvl w:val="0"/>
        <w:rPr>
          <w:rFonts w:hint="eastAsia" w:ascii="仿宋_GB2312" w:hAnsi="仿宋_GB2312" w:eastAsia="仿宋_GB2312" w:cs="仿宋_GB2312"/>
          <w:bCs/>
          <w:color w:val="000000"/>
          <w:sz w:val="32"/>
          <w:szCs w:val="32"/>
          <w:lang w:eastAsia="zh-CN"/>
        </w:rPr>
      </w:pPr>
      <w:r>
        <w:rPr>
          <w:rFonts w:hint="eastAsia" w:ascii="仿宋_GB2312" w:hAnsi="仿宋_GB2312" w:eastAsia="仿宋_GB2312" w:cs="仿宋_GB2312"/>
          <w:bCs/>
          <w:color w:val="000000"/>
          <w:sz w:val="32"/>
          <w:szCs w:val="32"/>
        </w:rPr>
        <w:t>2.1报价单位应是在中华人民共和国境内注册成立，具有独立承担民事责任能力的企业（事业）单位法人或其他组织，持有工商行政管理部门核发的有效营业执照</w:t>
      </w:r>
      <w:r>
        <w:rPr>
          <w:rFonts w:hint="eastAsia" w:ascii="仿宋_GB2312" w:hAnsi="仿宋_GB2312" w:eastAsia="仿宋_GB2312" w:cs="仿宋_GB2312"/>
          <w:bCs/>
          <w:color w:val="000000"/>
          <w:sz w:val="32"/>
          <w:szCs w:val="32"/>
          <w:lang w:eastAsia="zh-CN"/>
        </w:rPr>
        <w:t>。</w:t>
      </w:r>
    </w:p>
    <w:p w14:paraId="0B194B28">
      <w:pPr>
        <w:spacing w:line="580" w:lineRule="exact"/>
        <w:ind w:firstLine="640" w:firstLineChars="200"/>
        <w:outlineLvl w:val="0"/>
        <w:rPr>
          <w:rFonts w:hint="eastAsia" w:ascii="仿宋_GB2312" w:hAnsi="仿宋_GB2312" w:eastAsia="仿宋_GB2312" w:cs="仿宋_GB2312"/>
          <w:bCs/>
          <w:color w:val="000000"/>
          <w:sz w:val="32"/>
          <w:szCs w:val="32"/>
          <w:lang w:eastAsia="zh-CN"/>
        </w:rPr>
      </w:pPr>
      <w:r>
        <w:rPr>
          <w:rFonts w:hint="eastAsia" w:ascii="仿宋_GB2312" w:hAnsi="仿宋_GB2312" w:eastAsia="仿宋_GB2312" w:cs="仿宋_GB2312"/>
          <w:bCs/>
          <w:color w:val="000000"/>
          <w:sz w:val="32"/>
          <w:szCs w:val="32"/>
        </w:rPr>
        <w:t>2.2报价单位具有中国保险监督管理委员会颁发的《经营保险业务许可证》</w:t>
      </w:r>
      <w:r>
        <w:rPr>
          <w:rFonts w:hint="eastAsia" w:ascii="仿宋_GB2312" w:hAnsi="仿宋_GB2312" w:eastAsia="仿宋_GB2312" w:cs="仿宋_GB2312"/>
          <w:bCs/>
          <w:color w:val="000000"/>
          <w:sz w:val="32"/>
          <w:szCs w:val="32"/>
          <w:lang w:eastAsia="zh-CN"/>
        </w:rPr>
        <w:t>。</w:t>
      </w:r>
    </w:p>
    <w:p w14:paraId="67537CBA">
      <w:pPr>
        <w:spacing w:line="580" w:lineRule="exact"/>
        <w:ind w:firstLine="640" w:firstLineChars="200"/>
        <w:outlineLvl w:val="0"/>
        <w:rPr>
          <w:rFonts w:hint="eastAsia" w:ascii="仿宋_GB2312" w:hAnsi="仿宋_GB2312" w:eastAsia="仿宋_GB2312" w:cs="仿宋_GB2312"/>
          <w:bCs/>
          <w:color w:val="000000"/>
          <w:sz w:val="32"/>
          <w:szCs w:val="32"/>
          <w:lang w:eastAsia="zh-CN"/>
        </w:rPr>
      </w:pPr>
      <w:r>
        <w:rPr>
          <w:rFonts w:hint="eastAsia" w:ascii="仿宋_GB2312" w:hAnsi="仿宋_GB2312" w:eastAsia="仿宋_GB2312" w:cs="仿宋_GB2312"/>
          <w:bCs/>
          <w:color w:val="000000"/>
          <w:sz w:val="32"/>
          <w:szCs w:val="32"/>
        </w:rPr>
        <w:t>2</w:t>
      </w:r>
      <w:r>
        <w:rPr>
          <w:rFonts w:hint="eastAsia" w:ascii="仿宋_GB2312" w:hAnsi="仿宋_GB2312" w:eastAsia="仿宋_GB2312" w:cs="仿宋_GB2312"/>
          <w:bCs/>
          <w:color w:val="000000"/>
          <w:sz w:val="32"/>
          <w:szCs w:val="32"/>
          <w:lang w:val="hr-HR"/>
        </w:rPr>
        <w:t>.3参与报价的单位信誉良好，没有处于被责令停业，投标资格被取消，财产被接管、冻结、破产状态。报价单位当前未被列入“信用中国（http://www.creditchina.gov.cn</w:t>
      </w:r>
      <w:r>
        <w:rPr>
          <w:rFonts w:hint="eastAsia" w:ascii="仿宋_GB2312" w:hAnsi="仿宋_GB2312" w:eastAsia="仿宋_GB2312" w:cs="仿宋_GB2312"/>
          <w:bCs/>
          <w:color w:val="000000"/>
          <w:sz w:val="32"/>
          <w:szCs w:val="32"/>
          <w:lang w:val="hr-HR" w:eastAsia="zh-CN"/>
        </w:rPr>
        <w:t>）</w:t>
      </w:r>
      <w:r>
        <w:rPr>
          <w:rFonts w:hint="eastAsia" w:ascii="仿宋_GB2312" w:hAnsi="仿宋_GB2312" w:eastAsia="仿宋_GB2312" w:cs="仿宋_GB2312"/>
          <w:bCs/>
          <w:color w:val="000000"/>
          <w:sz w:val="32"/>
          <w:szCs w:val="32"/>
          <w:lang w:val="hr-HR"/>
        </w:rPr>
        <w:t>”失信被执行人（提供“信用中国”网站查询截图）</w:t>
      </w:r>
      <w:r>
        <w:rPr>
          <w:rFonts w:hint="eastAsia" w:ascii="仿宋_GB2312" w:hAnsi="仿宋_GB2312" w:eastAsia="仿宋_GB2312" w:cs="仿宋_GB2312"/>
          <w:bCs/>
          <w:color w:val="000000"/>
          <w:sz w:val="32"/>
          <w:szCs w:val="32"/>
          <w:lang w:eastAsia="zh-CN"/>
        </w:rPr>
        <w:t>。</w:t>
      </w:r>
    </w:p>
    <w:p w14:paraId="2A8B319D">
      <w:pPr>
        <w:adjustRightInd w:val="0"/>
        <w:snapToGrid w:val="0"/>
        <w:spacing w:line="580" w:lineRule="exact"/>
        <w:ind w:firstLine="640" w:firstLineChars="200"/>
        <w:rPr>
          <w:rFonts w:ascii="仿宋_GB2312" w:hAnsi="仿宋_GB2312" w:eastAsia="仿宋_GB2312" w:cs="仿宋_GB2312"/>
          <w:bCs/>
          <w:color w:val="000000"/>
          <w:sz w:val="32"/>
          <w:szCs w:val="32"/>
          <w:lang w:val="hr-HR"/>
        </w:rPr>
      </w:pPr>
      <w:r>
        <w:rPr>
          <w:rFonts w:hint="eastAsia" w:ascii="仿宋_GB2312" w:hAnsi="仿宋_GB2312" w:eastAsia="仿宋_GB2312" w:cs="仿宋_GB2312"/>
          <w:bCs/>
          <w:color w:val="000000"/>
          <w:sz w:val="32"/>
          <w:szCs w:val="32"/>
          <w:lang w:val="hr-HR"/>
        </w:rPr>
        <w:t>2.4 类似业绩：2022年至今已完成或正在实施的类似项目业绩，类似项目业绩是指车辆保险</w:t>
      </w:r>
      <w:r>
        <w:rPr>
          <w:rFonts w:hint="eastAsia" w:ascii="仿宋_GB2312" w:hAnsi="仿宋_GB2312" w:eastAsia="仿宋_GB2312" w:cs="仿宋_GB2312"/>
          <w:bCs/>
          <w:color w:val="000000"/>
          <w:sz w:val="32"/>
          <w:szCs w:val="32"/>
          <w:lang w:val="hr-HR" w:eastAsia="zh-CN"/>
        </w:rPr>
        <w:t>业绩</w:t>
      </w:r>
      <w:r>
        <w:rPr>
          <w:rFonts w:hint="eastAsia" w:ascii="仿宋_GB2312" w:hAnsi="仿宋_GB2312" w:eastAsia="仿宋_GB2312" w:cs="仿宋_GB2312"/>
          <w:bCs/>
          <w:color w:val="000000"/>
          <w:sz w:val="32"/>
          <w:szCs w:val="32"/>
          <w:lang w:val="hr-HR"/>
        </w:rPr>
        <w:t>证明材料为合同复印件（须至少包含：合同双方盖章页、合同签订日期及服务范围等内容）</w:t>
      </w:r>
      <w:r>
        <w:rPr>
          <w:rFonts w:hint="eastAsia" w:ascii="仿宋_GB2312" w:hAnsi="仿宋_GB2312" w:eastAsia="仿宋_GB2312" w:cs="仿宋_GB2312"/>
          <w:bCs/>
          <w:color w:val="000000"/>
          <w:sz w:val="32"/>
          <w:szCs w:val="32"/>
          <w:lang w:val="hr-HR" w:eastAsia="zh-CN"/>
        </w:rPr>
        <w:t>，</w:t>
      </w:r>
      <w:r>
        <w:rPr>
          <w:rFonts w:hint="eastAsia" w:ascii="仿宋_GB2312" w:hAnsi="仿宋_GB2312" w:eastAsia="仿宋_GB2312" w:cs="仿宋_GB2312"/>
          <w:bCs/>
          <w:color w:val="000000"/>
          <w:sz w:val="32"/>
          <w:szCs w:val="32"/>
          <w:lang w:val="en-US" w:eastAsia="zh-CN"/>
        </w:rPr>
        <w:t>或</w:t>
      </w:r>
      <w:r>
        <w:rPr>
          <w:rFonts w:hint="eastAsia" w:ascii="仿宋_GB2312" w:hAnsi="仿宋_GB2312" w:eastAsia="仿宋_GB2312" w:cs="仿宋_GB2312"/>
          <w:bCs/>
          <w:color w:val="000000"/>
          <w:sz w:val="32"/>
          <w:szCs w:val="32"/>
          <w:lang w:val="hr-HR"/>
        </w:rPr>
        <w:t>中标（成交）通知</w:t>
      </w:r>
      <w:r>
        <w:rPr>
          <w:rFonts w:hint="eastAsia" w:ascii="仿宋_GB2312" w:hAnsi="仿宋_GB2312" w:eastAsia="仿宋_GB2312" w:cs="仿宋_GB2312"/>
          <w:bCs/>
          <w:color w:val="000000"/>
          <w:sz w:val="32"/>
          <w:szCs w:val="32"/>
          <w:lang w:val="hr-HR" w:eastAsia="zh-CN"/>
        </w:rPr>
        <w:t>书等</w:t>
      </w:r>
      <w:r>
        <w:rPr>
          <w:rFonts w:hint="eastAsia" w:ascii="仿宋_GB2312" w:hAnsi="仿宋_GB2312" w:eastAsia="仿宋_GB2312" w:cs="仿宋_GB2312"/>
          <w:bCs/>
          <w:color w:val="000000"/>
          <w:sz w:val="32"/>
          <w:szCs w:val="32"/>
          <w:lang w:val="hr-HR"/>
        </w:rPr>
        <w:t>证明文件。</w:t>
      </w:r>
    </w:p>
    <w:p w14:paraId="6296BDF2">
      <w:pPr>
        <w:tabs>
          <w:tab w:val="left" w:pos="540"/>
        </w:tabs>
        <w:adjustRightInd w:val="0"/>
        <w:snapToGrid w:val="0"/>
        <w:spacing w:line="580" w:lineRule="exact"/>
        <w:ind w:firstLine="640" w:firstLineChars="200"/>
        <w:rPr>
          <w:rFonts w:ascii="黑体" w:hAnsi="黑体" w:eastAsia="黑体" w:cs="黑体"/>
          <w:bCs/>
          <w:sz w:val="32"/>
          <w:szCs w:val="32"/>
        </w:rPr>
      </w:pPr>
      <w:r>
        <w:rPr>
          <w:rFonts w:hint="eastAsia" w:ascii="黑体" w:hAnsi="黑体" w:eastAsia="黑体" w:cs="黑体"/>
          <w:bCs/>
          <w:sz w:val="32"/>
          <w:szCs w:val="32"/>
        </w:rPr>
        <w:t>3.质量要求</w:t>
      </w:r>
    </w:p>
    <w:p w14:paraId="79530DEF">
      <w:pPr>
        <w:tabs>
          <w:tab w:val="left" w:pos="7590"/>
        </w:tabs>
        <w:spacing w:line="580" w:lineRule="exact"/>
        <w:ind w:firstLine="640" w:firstLineChars="200"/>
        <w:outlineLvl w:val="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符合国家、行业相关服务标准及招标人要求。</w:t>
      </w:r>
    </w:p>
    <w:p w14:paraId="2DBFB38C">
      <w:pPr>
        <w:tabs>
          <w:tab w:val="left" w:pos="540"/>
        </w:tabs>
        <w:adjustRightInd w:val="0"/>
        <w:snapToGrid w:val="0"/>
        <w:spacing w:line="580" w:lineRule="exact"/>
        <w:ind w:firstLine="640" w:firstLineChars="200"/>
        <w:rPr>
          <w:rFonts w:ascii="黑体" w:hAnsi="黑体" w:eastAsia="黑体" w:cs="黑体"/>
          <w:bCs/>
          <w:sz w:val="32"/>
          <w:szCs w:val="32"/>
        </w:rPr>
      </w:pPr>
      <w:r>
        <w:rPr>
          <w:rFonts w:hint="eastAsia" w:ascii="黑体" w:hAnsi="黑体" w:eastAsia="黑体" w:cs="黑体"/>
          <w:bCs/>
          <w:sz w:val="32"/>
          <w:szCs w:val="32"/>
        </w:rPr>
        <w:t>4.报价要求</w:t>
      </w:r>
    </w:p>
    <w:p w14:paraId="03A2C586">
      <w:pPr>
        <w:spacing w:line="580" w:lineRule="exact"/>
        <w:ind w:firstLine="640" w:firstLineChars="200"/>
        <w:outlineLvl w:val="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采用优惠率进行报价：①交强险按国家规定。②商业保险：按自主定价系数进行报价。</w:t>
      </w:r>
    </w:p>
    <w:p w14:paraId="3612BC4A">
      <w:pPr>
        <w:pStyle w:val="2"/>
        <w:spacing w:after="0" w:line="580" w:lineRule="exact"/>
        <w:ind w:firstLine="640" w:firstLineChars="200"/>
        <w:rPr>
          <w:rFonts w:ascii="仿宋_GB2312" w:hAnsi="仿宋_GB2312" w:eastAsia="仿宋_GB2312" w:cs="仿宋_GB2312"/>
          <w:bCs/>
          <w:color w:val="000000"/>
          <w:sz w:val="32"/>
          <w:szCs w:val="32"/>
        </w:rPr>
      </w:pPr>
      <w:r>
        <w:rPr>
          <w:rFonts w:hint="eastAsia" w:ascii="黑体" w:hAnsi="黑体" w:eastAsia="黑体" w:cs="黑体"/>
          <w:bCs/>
          <w:sz w:val="32"/>
          <w:szCs w:val="32"/>
        </w:rPr>
        <w:t>5.报价文件费份数及密封要求</w:t>
      </w:r>
    </w:p>
    <w:p w14:paraId="774B5B68">
      <w:pPr>
        <w:pStyle w:val="2"/>
        <w:spacing w:after="0" w:line="58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color w:val="000000"/>
          <w:sz w:val="32"/>
          <w:szCs w:val="32"/>
        </w:rPr>
        <w:t>纸质报价文件一式两份，且按要求在需要盖章的地方加盖鲜章。另外需要提供一份电子扫描的询价申请文件，且需保证电子文件和纸质文件一致。报价文件应密封。</w:t>
      </w:r>
    </w:p>
    <w:p w14:paraId="4EE06C42">
      <w:pPr>
        <w:tabs>
          <w:tab w:val="left" w:pos="7590"/>
        </w:tabs>
        <w:spacing w:line="580" w:lineRule="exact"/>
        <w:ind w:firstLine="640" w:firstLineChars="200"/>
        <w:outlineLvl w:val="0"/>
        <w:rPr>
          <w:rFonts w:ascii="黑体" w:hAnsi="黑体" w:eastAsia="黑体" w:cs="黑体"/>
          <w:bCs/>
          <w:color w:val="000000"/>
          <w:sz w:val="32"/>
          <w:szCs w:val="32"/>
        </w:rPr>
      </w:pPr>
      <w:r>
        <w:rPr>
          <w:rFonts w:hint="eastAsia" w:ascii="黑体" w:hAnsi="黑体" w:eastAsia="黑体" w:cs="黑体"/>
          <w:bCs/>
          <w:color w:val="000000"/>
          <w:sz w:val="32"/>
          <w:szCs w:val="32"/>
        </w:rPr>
        <w:t>6.报价文件的组成</w:t>
      </w:r>
    </w:p>
    <w:p w14:paraId="7FBCB978">
      <w:pPr>
        <w:spacing w:line="580" w:lineRule="exact"/>
        <w:ind w:firstLine="640" w:firstLineChars="200"/>
        <w:outlineLvl w:val="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报价文件由报价表、企业工商营业执照、经营保险业务许可证、相应承诺的有效复印件以及各询价响应人认为应该提供的</w:t>
      </w:r>
      <w:r>
        <w:rPr>
          <w:rFonts w:hint="eastAsia" w:ascii="仿宋_GB2312" w:hAnsi="仿宋_GB2312" w:eastAsia="仿宋_GB2312" w:cs="仿宋_GB2312"/>
          <w:bCs/>
          <w:color w:val="000000"/>
          <w:sz w:val="32"/>
          <w:szCs w:val="32"/>
          <w:lang w:eastAsia="zh-CN"/>
        </w:rPr>
        <w:t>其他</w:t>
      </w:r>
      <w:r>
        <w:rPr>
          <w:rFonts w:hint="eastAsia" w:ascii="仿宋_GB2312" w:hAnsi="仿宋_GB2312" w:eastAsia="仿宋_GB2312" w:cs="仿宋_GB2312"/>
          <w:bCs/>
          <w:color w:val="000000"/>
          <w:sz w:val="32"/>
          <w:szCs w:val="32"/>
        </w:rPr>
        <w:t>相关文件（可参考附件）。</w:t>
      </w:r>
    </w:p>
    <w:p w14:paraId="267ABEDA">
      <w:pPr>
        <w:tabs>
          <w:tab w:val="left" w:pos="7590"/>
        </w:tabs>
        <w:spacing w:line="580" w:lineRule="exact"/>
        <w:ind w:firstLine="640" w:firstLineChars="200"/>
        <w:outlineLvl w:val="0"/>
        <w:rPr>
          <w:rFonts w:ascii="黑体" w:hAnsi="黑体" w:eastAsia="黑体" w:cs="黑体"/>
          <w:bCs/>
          <w:color w:val="000000"/>
          <w:sz w:val="32"/>
          <w:szCs w:val="32"/>
        </w:rPr>
      </w:pPr>
      <w:r>
        <w:rPr>
          <w:rFonts w:hint="eastAsia" w:ascii="黑体" w:hAnsi="黑体" w:eastAsia="黑体" w:cs="黑体"/>
          <w:bCs/>
          <w:color w:val="000000"/>
          <w:sz w:val="32"/>
          <w:szCs w:val="32"/>
        </w:rPr>
        <w:t>7.询价比选申请文件获取</w:t>
      </w:r>
    </w:p>
    <w:p w14:paraId="3FC0E21D">
      <w:pPr>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文件获取方式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凡有意参加询价者，请于2026年2月</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日至2026年2月4日，每日9时至17时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北京时间，下同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，到昆明城市污水处理运营有限责任公司办公室获取；本次询价采购文件售价0元/份。</w:t>
      </w:r>
    </w:p>
    <w:p w14:paraId="5EB6A549">
      <w:pPr>
        <w:tabs>
          <w:tab w:val="left" w:pos="7590"/>
        </w:tabs>
        <w:spacing w:line="580" w:lineRule="exact"/>
        <w:ind w:firstLine="640" w:firstLineChars="200"/>
        <w:outlineLvl w:val="0"/>
        <w:rPr>
          <w:rFonts w:ascii="黑体" w:hAnsi="黑体" w:eastAsia="黑体" w:cs="黑体"/>
          <w:bCs/>
          <w:color w:val="000000"/>
          <w:sz w:val="32"/>
          <w:szCs w:val="32"/>
        </w:rPr>
      </w:pPr>
      <w:r>
        <w:rPr>
          <w:rFonts w:hint="eastAsia" w:ascii="黑体" w:hAnsi="黑体" w:eastAsia="黑体" w:cs="黑体"/>
          <w:bCs/>
          <w:color w:val="000000"/>
          <w:sz w:val="32"/>
          <w:szCs w:val="32"/>
        </w:rPr>
        <w:t>8.</w:t>
      </w:r>
      <w:r>
        <w:rPr>
          <w:rFonts w:hint="eastAsia" w:ascii="黑体" w:hAnsi="黑体" w:eastAsia="黑体" w:cs="黑体"/>
          <w:bCs/>
          <w:sz w:val="32"/>
          <w:szCs w:val="32"/>
        </w:rPr>
        <w:t>评标办法</w:t>
      </w:r>
    </w:p>
    <w:p w14:paraId="1D745C27">
      <w:pPr>
        <w:adjustRightInd w:val="0"/>
        <w:snapToGrid w:val="0"/>
        <w:spacing w:line="58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8.1评标委员会首先对竞标人的资质条件和竞标文件的有效性进行符合性评审，符合招标文件要求的给予符合性通过，不符合招标文件要求的竞标文件定为废标。</w:t>
      </w:r>
    </w:p>
    <w:p w14:paraId="195719F8">
      <w:pPr>
        <w:adjustRightInd w:val="0"/>
        <w:snapToGrid w:val="0"/>
        <w:spacing w:line="58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8.2评标办法为综合评分制评分法</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满分为100分</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w:t>
      </w:r>
    </w:p>
    <w:p w14:paraId="260F6B46">
      <w:pPr>
        <w:adjustRightInd w:val="0"/>
        <w:snapToGrid w:val="0"/>
        <w:spacing w:line="58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（1）商务部分（30分）</w:t>
      </w:r>
    </w:p>
    <w:p w14:paraId="7B078D50">
      <w:pPr>
        <w:adjustRightInd w:val="0"/>
        <w:snapToGrid w:val="0"/>
        <w:spacing w:line="58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以最低自主定价系数（0.5）为基准价，满分30分，在报价单位的投标报价在最低自主定价系数的</w:t>
      </w:r>
      <w:r>
        <w:rPr>
          <w:rFonts w:hint="eastAsia" w:ascii="仿宋_GB2312" w:hAnsi="仿宋_GB2312" w:eastAsia="仿宋_GB2312" w:cs="仿宋_GB2312"/>
          <w:bCs/>
          <w:sz w:val="32"/>
          <w:szCs w:val="32"/>
          <w:lang w:eastAsia="zh-CN"/>
        </w:rPr>
        <w:t>基础</w:t>
      </w:r>
      <w:r>
        <w:rPr>
          <w:rFonts w:hint="eastAsia" w:ascii="仿宋_GB2312" w:hAnsi="仿宋_GB2312" w:eastAsia="仿宋_GB2312" w:cs="仿宋_GB2312"/>
          <w:bCs/>
          <w:sz w:val="32"/>
          <w:szCs w:val="32"/>
        </w:rPr>
        <w:t>上每上浮20%扣3分，不足20%按20</w:t>
      </w:r>
      <w:r>
        <w:rPr>
          <w:rFonts w:hint="eastAsia" w:ascii="仿宋_GB2312" w:hAnsi="仿宋_GB2312" w:eastAsia="仿宋_GB2312" w:cs="仿宋_GB2312"/>
          <w:bCs/>
          <w:sz w:val="32"/>
          <w:szCs w:val="32"/>
          <w:lang w:eastAsia="zh-CN"/>
        </w:rPr>
        <w:t>%计</w:t>
      </w:r>
      <w:r>
        <w:rPr>
          <w:rFonts w:hint="eastAsia" w:ascii="仿宋_GB2312" w:hAnsi="仿宋_GB2312" w:eastAsia="仿宋_GB2312" w:cs="仿宋_GB2312"/>
          <w:bCs/>
          <w:sz w:val="32"/>
          <w:szCs w:val="32"/>
        </w:rPr>
        <w:t>算。</w:t>
      </w:r>
    </w:p>
    <w:p w14:paraId="0195DB39">
      <w:pPr>
        <w:spacing w:line="580" w:lineRule="exact"/>
        <w:ind w:firstLine="640" w:firstLineChars="200"/>
        <w:outlineLvl w:val="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（2）技术部分（70分）按下表进行打分</w:t>
      </w:r>
    </w:p>
    <w:tbl>
      <w:tblPr>
        <w:tblStyle w:val="13"/>
        <w:tblW w:w="5173" w:type="pct"/>
        <w:tblInd w:w="0" w:type="dxa"/>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Layout w:type="autofit"/>
        <w:tblCellMar>
          <w:top w:w="0" w:type="dxa"/>
          <w:left w:w="108" w:type="dxa"/>
          <w:bottom w:w="0" w:type="dxa"/>
          <w:right w:w="108" w:type="dxa"/>
        </w:tblCellMar>
      </w:tblPr>
      <w:tblGrid>
        <w:gridCol w:w="781"/>
        <w:gridCol w:w="1919"/>
        <w:gridCol w:w="6568"/>
        <w:gridCol w:w="1039"/>
      </w:tblGrid>
      <w:tr w14:paraId="1AAA2B9F">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CellMar>
            <w:top w:w="0" w:type="dxa"/>
            <w:left w:w="108" w:type="dxa"/>
            <w:bottom w:w="0" w:type="dxa"/>
            <w:right w:w="108" w:type="dxa"/>
          </w:tblCellMar>
        </w:tblPrEx>
        <w:trPr>
          <w:trHeight w:val="488" w:hRule="atLeast"/>
        </w:trPr>
        <w:tc>
          <w:tcPr>
            <w:tcW w:w="379" w:type="pct"/>
            <w:vAlign w:val="center"/>
          </w:tcPr>
          <w:p w14:paraId="3E972D47">
            <w:pPr>
              <w:spacing w:line="360" w:lineRule="auto"/>
              <w:jc w:val="center"/>
              <w:rPr>
                <w:rFonts w:ascii="宋体" w:hAnsi="宋体"/>
                <w:b/>
                <w:color w:val="000000"/>
                <w:szCs w:val="21"/>
              </w:rPr>
            </w:pPr>
            <w:r>
              <w:rPr>
                <w:rFonts w:hint="eastAsia" w:ascii="宋体" w:hAnsi="宋体"/>
                <w:b/>
                <w:color w:val="000000"/>
                <w:szCs w:val="21"/>
              </w:rPr>
              <w:t>序号</w:t>
            </w:r>
          </w:p>
        </w:tc>
        <w:tc>
          <w:tcPr>
            <w:tcW w:w="931" w:type="pct"/>
            <w:vAlign w:val="center"/>
          </w:tcPr>
          <w:p w14:paraId="6D68F872">
            <w:pPr>
              <w:spacing w:line="360" w:lineRule="auto"/>
              <w:ind w:firstLine="360"/>
              <w:jc w:val="center"/>
              <w:rPr>
                <w:rFonts w:ascii="宋体" w:hAnsi="宋体"/>
                <w:b/>
                <w:color w:val="000000"/>
                <w:szCs w:val="21"/>
              </w:rPr>
            </w:pPr>
            <w:r>
              <w:rPr>
                <w:rFonts w:hint="eastAsia" w:ascii="宋体" w:hAnsi="宋体"/>
                <w:b/>
                <w:color w:val="000000"/>
                <w:szCs w:val="21"/>
              </w:rPr>
              <w:t>项目</w:t>
            </w:r>
          </w:p>
        </w:tc>
        <w:tc>
          <w:tcPr>
            <w:tcW w:w="3186" w:type="pct"/>
            <w:vAlign w:val="center"/>
          </w:tcPr>
          <w:p w14:paraId="0FF8D599">
            <w:pPr>
              <w:spacing w:line="360" w:lineRule="auto"/>
              <w:jc w:val="center"/>
              <w:rPr>
                <w:rFonts w:ascii="宋体" w:hAnsi="宋体"/>
                <w:b/>
                <w:color w:val="000000"/>
                <w:szCs w:val="21"/>
              </w:rPr>
            </w:pPr>
            <w:r>
              <w:rPr>
                <w:rFonts w:hint="eastAsia" w:ascii="宋体" w:hAnsi="宋体"/>
                <w:b/>
                <w:color w:val="000000"/>
                <w:szCs w:val="21"/>
              </w:rPr>
              <w:t>评分细则</w:t>
            </w:r>
          </w:p>
        </w:tc>
        <w:tc>
          <w:tcPr>
            <w:tcW w:w="504" w:type="pct"/>
            <w:vAlign w:val="center"/>
          </w:tcPr>
          <w:p w14:paraId="3C801C89">
            <w:pPr>
              <w:spacing w:line="360" w:lineRule="auto"/>
              <w:jc w:val="center"/>
              <w:rPr>
                <w:rFonts w:ascii="宋体" w:hAnsi="宋体"/>
                <w:b/>
                <w:color w:val="000000"/>
                <w:szCs w:val="21"/>
              </w:rPr>
            </w:pPr>
            <w:r>
              <w:rPr>
                <w:rFonts w:hint="eastAsia" w:ascii="宋体" w:hAnsi="宋体"/>
                <w:b/>
                <w:color w:val="000000"/>
                <w:szCs w:val="21"/>
              </w:rPr>
              <w:t>分值</w:t>
            </w:r>
          </w:p>
        </w:tc>
      </w:tr>
      <w:tr w14:paraId="1BEA2B28">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379" w:type="pct"/>
            <w:vAlign w:val="center"/>
          </w:tcPr>
          <w:p w14:paraId="1903D19B">
            <w:pPr>
              <w:spacing w:line="360" w:lineRule="auto"/>
              <w:jc w:val="center"/>
              <w:rPr>
                <w:rFonts w:ascii="宋体" w:hAnsi="宋体"/>
                <w:color w:val="000000"/>
                <w:szCs w:val="21"/>
              </w:rPr>
            </w:pPr>
            <w:bookmarkStart w:id="0" w:name="_Hlk32792096"/>
            <w:bookmarkStart w:id="1" w:name="_Hlk37242205"/>
            <w:bookmarkStart w:id="2" w:name="_Hlk54702019"/>
            <w:r>
              <w:rPr>
                <w:rFonts w:hint="eastAsia" w:ascii="宋体" w:hAnsi="宋体"/>
                <w:color w:val="000000"/>
                <w:szCs w:val="21"/>
              </w:rPr>
              <w:t>1</w:t>
            </w:r>
          </w:p>
        </w:tc>
        <w:tc>
          <w:tcPr>
            <w:tcW w:w="931" w:type="pct"/>
            <w:vAlign w:val="center"/>
          </w:tcPr>
          <w:p w14:paraId="01E49811">
            <w:pPr>
              <w:widowControl/>
              <w:spacing w:line="276" w:lineRule="auto"/>
              <w:rPr>
                <w:rFonts w:ascii="宋体" w:hAnsi="宋体"/>
                <w:bCs/>
                <w:color w:val="000000"/>
                <w:kern w:val="0"/>
                <w:szCs w:val="21"/>
              </w:rPr>
            </w:pPr>
            <w:r>
              <w:rPr>
                <w:rFonts w:hint="eastAsia" w:ascii="宋体" w:hAnsi="宋体"/>
                <w:color w:val="000000"/>
                <w:szCs w:val="21"/>
              </w:rPr>
              <w:t>针对本项目服务的实施方案评审</w:t>
            </w:r>
          </w:p>
        </w:tc>
        <w:tc>
          <w:tcPr>
            <w:tcW w:w="3186" w:type="pct"/>
          </w:tcPr>
          <w:p w14:paraId="53765D2A">
            <w:pPr>
              <w:widowControl/>
              <w:spacing w:line="276" w:lineRule="auto"/>
              <w:rPr>
                <w:rFonts w:ascii="宋体" w:hAnsi="宋体"/>
                <w:szCs w:val="21"/>
              </w:rPr>
            </w:pPr>
            <w:r>
              <w:rPr>
                <w:rFonts w:hint="eastAsia" w:ascii="宋体" w:hAnsi="宋体"/>
                <w:b/>
                <w:bCs/>
                <w:szCs w:val="21"/>
              </w:rPr>
              <w:t>第一档次：</w:t>
            </w:r>
            <w:r>
              <w:rPr>
                <w:rFonts w:hint="eastAsia" w:ascii="宋体" w:hAnsi="宋体"/>
                <w:szCs w:val="21"/>
              </w:rPr>
              <w:t>项目实施方案全面、合理性高，熟悉专业档案业务，能体现针对性的重点和特点，并结合自身理解、经验，提出切实可行的实施方案，得14</w:t>
            </w:r>
            <w:r>
              <w:rPr>
                <w:rFonts w:hint="eastAsia" w:ascii="宋体" w:hAnsi="宋体"/>
                <w:szCs w:val="21"/>
                <w:lang w:eastAsia="zh-CN"/>
              </w:rPr>
              <w:t>—</w:t>
            </w:r>
            <w:r>
              <w:rPr>
                <w:rFonts w:hint="eastAsia" w:ascii="宋体" w:hAnsi="宋体"/>
                <w:szCs w:val="21"/>
              </w:rPr>
              <w:t>2</w:t>
            </w:r>
            <w:r>
              <w:rPr>
                <w:rFonts w:ascii="宋体" w:hAnsi="宋体"/>
                <w:szCs w:val="21"/>
              </w:rPr>
              <w:t>0</w:t>
            </w:r>
            <w:r>
              <w:rPr>
                <w:rFonts w:hint="eastAsia" w:ascii="宋体" w:hAnsi="宋体"/>
                <w:szCs w:val="21"/>
              </w:rPr>
              <w:t>分；</w:t>
            </w:r>
          </w:p>
          <w:p w14:paraId="6BC6C966">
            <w:pPr>
              <w:widowControl/>
              <w:spacing w:line="276" w:lineRule="auto"/>
              <w:rPr>
                <w:rFonts w:ascii="宋体" w:hAnsi="宋体"/>
                <w:szCs w:val="21"/>
              </w:rPr>
            </w:pPr>
            <w:r>
              <w:rPr>
                <w:rFonts w:hint="eastAsia" w:ascii="宋体" w:hAnsi="宋体"/>
                <w:b/>
                <w:bCs/>
                <w:szCs w:val="21"/>
              </w:rPr>
              <w:t>第二档次：</w:t>
            </w:r>
            <w:r>
              <w:rPr>
                <w:rFonts w:hint="eastAsia" w:ascii="宋体" w:hAnsi="宋体"/>
                <w:szCs w:val="21"/>
              </w:rPr>
              <w:t>项目实施方案合理性一般，基本体现重点及特点，实施方案基本可行的，得7</w:t>
            </w:r>
            <w:r>
              <w:rPr>
                <w:rFonts w:hint="eastAsia" w:ascii="宋体" w:hAnsi="宋体"/>
                <w:szCs w:val="21"/>
                <w:lang w:eastAsia="zh-CN"/>
              </w:rPr>
              <w:t>—</w:t>
            </w:r>
            <w:r>
              <w:rPr>
                <w:rFonts w:hint="eastAsia" w:ascii="宋体" w:hAnsi="宋体"/>
                <w:szCs w:val="21"/>
              </w:rPr>
              <w:t>13分；</w:t>
            </w:r>
          </w:p>
          <w:p w14:paraId="75537DE4">
            <w:pPr>
              <w:widowControl/>
              <w:spacing w:line="276" w:lineRule="auto"/>
              <w:rPr>
                <w:rFonts w:ascii="宋体" w:hAnsi="宋体"/>
                <w:color w:val="000000"/>
                <w:szCs w:val="21"/>
              </w:rPr>
            </w:pPr>
            <w:r>
              <w:rPr>
                <w:rFonts w:hint="eastAsia" w:ascii="宋体" w:hAnsi="宋体"/>
                <w:b/>
                <w:bCs/>
                <w:szCs w:val="21"/>
              </w:rPr>
              <w:t>第三档次：</w:t>
            </w:r>
            <w:r>
              <w:rPr>
                <w:rFonts w:hint="eastAsia" w:ascii="宋体" w:hAnsi="宋体"/>
                <w:szCs w:val="21"/>
              </w:rPr>
              <w:t>项目实施方案合理性差，无服务的重点和特点，得1</w:t>
            </w:r>
            <w:r>
              <w:rPr>
                <w:rFonts w:hint="eastAsia" w:ascii="宋体" w:hAnsi="宋体"/>
                <w:szCs w:val="21"/>
                <w:lang w:eastAsia="zh-CN"/>
              </w:rPr>
              <w:t>—</w:t>
            </w:r>
            <w:r>
              <w:rPr>
                <w:rFonts w:hint="eastAsia" w:ascii="宋体" w:hAnsi="宋体"/>
                <w:szCs w:val="21"/>
              </w:rPr>
              <w:t>6分。</w:t>
            </w:r>
          </w:p>
        </w:tc>
        <w:tc>
          <w:tcPr>
            <w:tcW w:w="504" w:type="pct"/>
            <w:vAlign w:val="center"/>
          </w:tcPr>
          <w:p w14:paraId="7AE5AB9E">
            <w:pPr>
              <w:spacing w:line="360" w:lineRule="auto"/>
              <w:jc w:val="center"/>
              <w:rPr>
                <w:rFonts w:ascii="宋体" w:hAnsi="宋体"/>
                <w:color w:val="000000"/>
                <w:szCs w:val="21"/>
              </w:rPr>
            </w:pPr>
            <w:r>
              <w:rPr>
                <w:rFonts w:ascii="宋体" w:hAnsi="宋体"/>
                <w:color w:val="000000"/>
                <w:szCs w:val="21"/>
              </w:rPr>
              <w:t>20</w:t>
            </w:r>
            <w:r>
              <w:rPr>
                <w:rFonts w:hint="eastAsia" w:ascii="宋体" w:hAnsi="宋体"/>
                <w:color w:val="000000"/>
                <w:szCs w:val="21"/>
              </w:rPr>
              <w:t>分</w:t>
            </w:r>
          </w:p>
        </w:tc>
      </w:tr>
      <w:bookmarkEnd w:id="0"/>
      <w:bookmarkEnd w:id="1"/>
      <w:tr w14:paraId="2850BE34">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379" w:type="pct"/>
            <w:vAlign w:val="center"/>
          </w:tcPr>
          <w:p w14:paraId="5328946A">
            <w:pPr>
              <w:spacing w:line="360" w:lineRule="auto"/>
              <w:jc w:val="center"/>
              <w:rPr>
                <w:rFonts w:ascii="宋体" w:hAnsi="宋体"/>
                <w:color w:val="000000"/>
                <w:szCs w:val="21"/>
              </w:rPr>
            </w:pPr>
            <w:r>
              <w:rPr>
                <w:rFonts w:ascii="宋体" w:hAnsi="宋体"/>
                <w:color w:val="000000"/>
                <w:szCs w:val="21"/>
              </w:rPr>
              <w:t>2</w:t>
            </w:r>
          </w:p>
        </w:tc>
        <w:tc>
          <w:tcPr>
            <w:tcW w:w="931" w:type="pct"/>
            <w:vAlign w:val="center"/>
          </w:tcPr>
          <w:p w14:paraId="5C57D245">
            <w:pPr>
              <w:spacing w:line="360" w:lineRule="auto"/>
              <w:rPr>
                <w:rFonts w:ascii="宋体" w:hAnsi="宋体"/>
                <w:color w:val="000000"/>
                <w:szCs w:val="21"/>
              </w:rPr>
            </w:pPr>
            <w:r>
              <w:rPr>
                <w:rFonts w:hint="eastAsia" w:ascii="宋体" w:hAnsi="宋体"/>
                <w:color w:val="000000"/>
                <w:szCs w:val="21"/>
              </w:rPr>
              <w:t>增值服务</w:t>
            </w:r>
          </w:p>
        </w:tc>
        <w:tc>
          <w:tcPr>
            <w:tcW w:w="3186" w:type="pct"/>
          </w:tcPr>
          <w:p w14:paraId="0F2042E1">
            <w:pPr>
              <w:snapToGrid w:val="0"/>
              <w:spacing w:line="360" w:lineRule="auto"/>
              <w:rPr>
                <w:rFonts w:ascii="宋体" w:hAnsi="宋体" w:cs="宋体"/>
                <w:szCs w:val="21"/>
              </w:rPr>
            </w:pPr>
            <w:r>
              <w:rPr>
                <w:rFonts w:hint="eastAsia" w:ascii="宋体" w:hAnsi="宋体"/>
                <w:color w:val="000000"/>
                <w:szCs w:val="21"/>
              </w:rPr>
              <w:t>第一档次：</w:t>
            </w:r>
            <w:r>
              <w:rPr>
                <w:rFonts w:hint="eastAsia" w:ascii="宋体" w:hAnsi="宋体" w:cs="宋体"/>
                <w:szCs w:val="21"/>
              </w:rPr>
              <w:t>增值服务内容具体、完整、可行、合理，针对性较强，得4</w:t>
            </w:r>
            <w:r>
              <w:rPr>
                <w:rFonts w:hint="eastAsia" w:ascii="宋体" w:hAnsi="宋体" w:cs="宋体"/>
                <w:szCs w:val="21"/>
                <w:lang w:eastAsia="zh-CN"/>
              </w:rPr>
              <w:t>—</w:t>
            </w:r>
            <w:r>
              <w:rPr>
                <w:rFonts w:hint="eastAsia" w:ascii="宋体" w:hAnsi="宋体" w:cs="宋体"/>
                <w:szCs w:val="21"/>
              </w:rPr>
              <w:t>5分</w:t>
            </w:r>
            <w:r>
              <w:rPr>
                <w:rFonts w:hint="eastAsia" w:ascii="宋体" w:hAnsi="宋体" w:cs="宋体"/>
                <w:szCs w:val="21"/>
                <w:lang w:eastAsia="zh-CN"/>
              </w:rPr>
              <w:t>；</w:t>
            </w:r>
          </w:p>
          <w:p w14:paraId="3BCE7124">
            <w:pPr>
              <w:snapToGrid w:val="0"/>
              <w:spacing w:line="360" w:lineRule="auto"/>
              <w:rPr>
                <w:rFonts w:ascii="宋体" w:hAnsi="宋体" w:cs="宋体"/>
                <w:szCs w:val="21"/>
              </w:rPr>
            </w:pPr>
            <w:r>
              <w:rPr>
                <w:rFonts w:hint="eastAsia" w:ascii="宋体" w:hAnsi="宋体"/>
                <w:color w:val="000000"/>
                <w:szCs w:val="21"/>
              </w:rPr>
              <w:t>第二档次：</w:t>
            </w:r>
            <w:r>
              <w:rPr>
                <w:rFonts w:hint="eastAsia" w:ascii="宋体" w:hAnsi="宋体" w:cs="宋体"/>
                <w:szCs w:val="21"/>
              </w:rPr>
              <w:t>增值服务内容基本完整、可行、合理性一般，针对性一般，得2</w:t>
            </w:r>
            <w:r>
              <w:rPr>
                <w:rFonts w:hint="eastAsia" w:ascii="宋体" w:hAnsi="宋体" w:cs="宋体"/>
                <w:szCs w:val="21"/>
                <w:lang w:eastAsia="zh-CN"/>
              </w:rPr>
              <w:t>—</w:t>
            </w:r>
            <w:r>
              <w:rPr>
                <w:rFonts w:hint="eastAsia" w:ascii="宋体" w:hAnsi="宋体" w:cs="宋体"/>
                <w:szCs w:val="21"/>
              </w:rPr>
              <w:t>3分</w:t>
            </w:r>
            <w:r>
              <w:rPr>
                <w:rFonts w:hint="eastAsia" w:ascii="宋体" w:hAnsi="宋体" w:cs="宋体"/>
                <w:szCs w:val="21"/>
                <w:lang w:eastAsia="zh-CN"/>
              </w:rPr>
              <w:t>；</w:t>
            </w:r>
          </w:p>
          <w:p w14:paraId="5CD9D7E4">
            <w:pPr>
              <w:snapToGrid w:val="0"/>
              <w:spacing w:line="360" w:lineRule="auto"/>
              <w:rPr>
                <w:rFonts w:ascii="宋体" w:hAnsi="宋体" w:cs="宋体"/>
                <w:szCs w:val="21"/>
              </w:rPr>
            </w:pPr>
            <w:r>
              <w:rPr>
                <w:rFonts w:hint="eastAsia" w:ascii="宋体" w:hAnsi="宋体"/>
                <w:color w:val="000000"/>
                <w:szCs w:val="21"/>
              </w:rPr>
              <w:t>第三档次：</w:t>
            </w:r>
            <w:r>
              <w:rPr>
                <w:rFonts w:hint="eastAsia" w:ascii="宋体" w:hAnsi="宋体" w:cs="宋体"/>
                <w:szCs w:val="21"/>
              </w:rPr>
              <w:t>增值服务内容有缺漏、可</w:t>
            </w:r>
            <w:r>
              <w:rPr>
                <w:rFonts w:hint="eastAsia" w:ascii="宋体" w:hAnsi="宋体" w:cs="宋体"/>
                <w:szCs w:val="21"/>
                <w:lang w:eastAsia="zh-CN"/>
              </w:rPr>
              <w:t>行性</w:t>
            </w:r>
            <w:r>
              <w:rPr>
                <w:rFonts w:hint="eastAsia" w:ascii="宋体" w:hAnsi="宋体" w:cs="宋体"/>
                <w:szCs w:val="21"/>
              </w:rPr>
              <w:t>、合理性差，针对性差，得1分</w:t>
            </w:r>
          </w:p>
          <w:p w14:paraId="2D5CF28C">
            <w:pPr>
              <w:widowControl/>
              <w:rPr>
                <w:rFonts w:ascii="宋体" w:hAnsi="宋体"/>
                <w:color w:val="FF0000"/>
                <w:szCs w:val="21"/>
              </w:rPr>
            </w:pPr>
            <w:r>
              <w:rPr>
                <w:rFonts w:hint="eastAsia" w:ascii="宋体" w:hAnsi="宋体" w:cs="宋体"/>
                <w:szCs w:val="21"/>
              </w:rPr>
              <w:t>未作说明的不得分。</w:t>
            </w:r>
          </w:p>
        </w:tc>
        <w:tc>
          <w:tcPr>
            <w:tcW w:w="504" w:type="pct"/>
            <w:vAlign w:val="center"/>
          </w:tcPr>
          <w:p w14:paraId="669CC763">
            <w:pPr>
              <w:spacing w:line="360" w:lineRule="auto"/>
              <w:jc w:val="center"/>
              <w:rPr>
                <w:rFonts w:ascii="宋体" w:hAnsi="宋体"/>
                <w:color w:val="000000"/>
                <w:szCs w:val="21"/>
              </w:rPr>
            </w:pPr>
            <w:r>
              <w:rPr>
                <w:rFonts w:ascii="宋体" w:hAnsi="宋体"/>
                <w:color w:val="000000"/>
                <w:szCs w:val="21"/>
              </w:rPr>
              <w:t>20</w:t>
            </w:r>
            <w:r>
              <w:rPr>
                <w:rFonts w:hint="eastAsia" w:ascii="宋体" w:hAnsi="宋体"/>
                <w:color w:val="000000"/>
                <w:szCs w:val="21"/>
              </w:rPr>
              <w:t>分</w:t>
            </w:r>
          </w:p>
        </w:tc>
      </w:tr>
      <w:tr w14:paraId="57DE16C8">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379" w:type="pct"/>
            <w:vAlign w:val="center"/>
          </w:tcPr>
          <w:p w14:paraId="3F9201B5">
            <w:pPr>
              <w:spacing w:line="360" w:lineRule="auto"/>
              <w:jc w:val="center"/>
              <w:rPr>
                <w:rFonts w:ascii="宋体" w:hAnsi="宋体"/>
                <w:color w:val="000000"/>
                <w:szCs w:val="21"/>
              </w:rPr>
            </w:pPr>
            <w:r>
              <w:rPr>
                <w:rFonts w:ascii="宋体" w:hAnsi="宋体"/>
                <w:color w:val="000000"/>
                <w:szCs w:val="21"/>
              </w:rPr>
              <w:t>3</w:t>
            </w:r>
          </w:p>
        </w:tc>
        <w:tc>
          <w:tcPr>
            <w:tcW w:w="931" w:type="pct"/>
            <w:vAlign w:val="center"/>
          </w:tcPr>
          <w:p w14:paraId="55B40A45">
            <w:pPr>
              <w:widowControl/>
              <w:spacing w:line="276" w:lineRule="auto"/>
              <w:rPr>
                <w:rFonts w:ascii="宋体" w:hAnsi="宋体"/>
                <w:bCs/>
                <w:color w:val="000000"/>
                <w:kern w:val="0"/>
                <w:szCs w:val="21"/>
              </w:rPr>
            </w:pPr>
            <w:r>
              <w:rPr>
                <w:rFonts w:hint="eastAsia" w:ascii="宋体" w:hAnsi="宋体"/>
                <w:color w:val="000000"/>
                <w:szCs w:val="21"/>
              </w:rPr>
              <w:t>质量承诺及违约责任承诺评审</w:t>
            </w:r>
          </w:p>
        </w:tc>
        <w:tc>
          <w:tcPr>
            <w:tcW w:w="3186" w:type="pct"/>
          </w:tcPr>
          <w:p w14:paraId="20AC9BC6">
            <w:pPr>
              <w:widowControl/>
              <w:spacing w:line="276" w:lineRule="auto"/>
              <w:rPr>
                <w:rFonts w:ascii="宋体" w:hAnsi="宋体"/>
                <w:color w:val="000000"/>
                <w:szCs w:val="21"/>
              </w:rPr>
            </w:pPr>
            <w:r>
              <w:rPr>
                <w:rFonts w:hint="eastAsia" w:ascii="宋体" w:hAnsi="宋体"/>
                <w:color w:val="000000"/>
                <w:szCs w:val="21"/>
              </w:rPr>
              <w:t>第一档次：有明确的质量承诺和有力的保证措施的，有明确的违约责任承诺的，得</w:t>
            </w:r>
            <w:r>
              <w:rPr>
                <w:rFonts w:ascii="宋体" w:hAnsi="宋体"/>
                <w:color w:val="000000"/>
                <w:szCs w:val="21"/>
              </w:rPr>
              <w:t>14</w:t>
            </w:r>
            <w:r>
              <w:rPr>
                <w:rFonts w:hint="eastAsia" w:ascii="宋体" w:hAnsi="宋体"/>
                <w:color w:val="000000"/>
                <w:szCs w:val="21"/>
                <w:lang w:eastAsia="zh-CN"/>
              </w:rPr>
              <w:t>—</w:t>
            </w:r>
            <w:r>
              <w:rPr>
                <w:rFonts w:ascii="宋体" w:hAnsi="宋体"/>
                <w:color w:val="000000"/>
                <w:szCs w:val="21"/>
              </w:rPr>
              <w:t>20</w:t>
            </w:r>
            <w:r>
              <w:rPr>
                <w:rFonts w:hint="eastAsia" w:ascii="宋体" w:hAnsi="宋体"/>
                <w:color w:val="000000"/>
                <w:szCs w:val="21"/>
              </w:rPr>
              <w:t>分；</w:t>
            </w:r>
          </w:p>
          <w:p w14:paraId="0C72F707">
            <w:pPr>
              <w:widowControl/>
              <w:spacing w:line="276" w:lineRule="auto"/>
              <w:rPr>
                <w:rFonts w:ascii="宋体" w:hAnsi="宋体"/>
                <w:color w:val="000000"/>
                <w:szCs w:val="21"/>
              </w:rPr>
            </w:pPr>
            <w:r>
              <w:rPr>
                <w:rFonts w:hint="eastAsia" w:ascii="宋体" w:hAnsi="宋体"/>
                <w:color w:val="000000"/>
                <w:szCs w:val="21"/>
              </w:rPr>
              <w:t>第二档次：质量承诺和保证措施一般，有违约责任承诺但不具体的，得</w:t>
            </w:r>
            <w:r>
              <w:rPr>
                <w:rFonts w:ascii="宋体" w:hAnsi="宋体"/>
                <w:color w:val="000000"/>
                <w:szCs w:val="21"/>
              </w:rPr>
              <w:t>7</w:t>
            </w:r>
            <w:r>
              <w:rPr>
                <w:rFonts w:hint="eastAsia" w:ascii="宋体" w:hAnsi="宋体"/>
                <w:color w:val="000000"/>
                <w:szCs w:val="21"/>
                <w:lang w:eastAsia="zh-CN"/>
              </w:rPr>
              <w:t>—</w:t>
            </w:r>
            <w:r>
              <w:rPr>
                <w:rFonts w:ascii="宋体" w:hAnsi="宋体"/>
                <w:color w:val="000000"/>
                <w:szCs w:val="21"/>
              </w:rPr>
              <w:t>13</w:t>
            </w:r>
            <w:r>
              <w:rPr>
                <w:rFonts w:hint="eastAsia" w:ascii="宋体" w:hAnsi="宋体"/>
                <w:color w:val="000000"/>
                <w:szCs w:val="21"/>
              </w:rPr>
              <w:t>分；</w:t>
            </w:r>
          </w:p>
          <w:p w14:paraId="0C19E1C4">
            <w:pPr>
              <w:widowControl/>
              <w:spacing w:line="276" w:lineRule="auto"/>
              <w:rPr>
                <w:rFonts w:ascii="宋体" w:hAnsi="宋体"/>
                <w:color w:val="000000"/>
                <w:szCs w:val="21"/>
              </w:rPr>
            </w:pPr>
            <w:r>
              <w:rPr>
                <w:rFonts w:hint="eastAsia" w:ascii="宋体" w:hAnsi="宋体"/>
                <w:color w:val="000000"/>
                <w:szCs w:val="21"/>
              </w:rPr>
              <w:t>第三档次：质量承诺和保证措施较差，无违约责任承诺的，得1</w:t>
            </w:r>
            <w:r>
              <w:rPr>
                <w:rFonts w:hint="eastAsia" w:ascii="宋体" w:hAnsi="宋体"/>
                <w:color w:val="000000"/>
                <w:szCs w:val="21"/>
                <w:lang w:eastAsia="zh-CN"/>
              </w:rPr>
              <w:t>—</w:t>
            </w:r>
            <w:r>
              <w:rPr>
                <w:rFonts w:ascii="宋体" w:hAnsi="宋体"/>
                <w:color w:val="000000"/>
                <w:szCs w:val="21"/>
              </w:rPr>
              <w:t>6</w:t>
            </w:r>
            <w:r>
              <w:rPr>
                <w:rFonts w:hint="eastAsia" w:ascii="宋体" w:hAnsi="宋体"/>
                <w:color w:val="000000"/>
                <w:szCs w:val="21"/>
              </w:rPr>
              <w:t>分；</w:t>
            </w:r>
          </w:p>
          <w:p w14:paraId="07B17247">
            <w:pPr>
              <w:widowControl/>
              <w:spacing w:line="276" w:lineRule="auto"/>
              <w:rPr>
                <w:rFonts w:ascii="宋体" w:hAnsi="宋体"/>
                <w:color w:val="000000"/>
                <w:szCs w:val="21"/>
              </w:rPr>
            </w:pPr>
            <w:r>
              <w:rPr>
                <w:rFonts w:hint="eastAsia" w:ascii="宋体" w:hAnsi="宋体"/>
                <w:color w:val="000000"/>
                <w:szCs w:val="21"/>
              </w:rPr>
              <w:t>无质量承诺及保证措施的不得分。</w:t>
            </w:r>
          </w:p>
        </w:tc>
        <w:tc>
          <w:tcPr>
            <w:tcW w:w="504" w:type="pct"/>
            <w:vAlign w:val="center"/>
          </w:tcPr>
          <w:p w14:paraId="06D0BA23">
            <w:pPr>
              <w:spacing w:line="360" w:lineRule="auto"/>
              <w:jc w:val="center"/>
              <w:rPr>
                <w:rFonts w:ascii="宋体" w:hAnsi="宋体"/>
                <w:color w:val="000000"/>
                <w:szCs w:val="21"/>
              </w:rPr>
            </w:pPr>
            <w:r>
              <w:rPr>
                <w:rFonts w:hint="eastAsia" w:ascii="宋体" w:hAnsi="宋体"/>
                <w:color w:val="000000"/>
                <w:szCs w:val="21"/>
              </w:rPr>
              <w:t>20分</w:t>
            </w:r>
          </w:p>
        </w:tc>
      </w:tr>
      <w:tr w14:paraId="59DED8AA">
        <w:tblPrEx>
          <w:tblBorders>
            <w:top w:val="thinThickSmallGap" w:color="auto" w:sz="24" w:space="0"/>
            <w:left w:val="thinThickSmallGap" w:color="auto" w:sz="24" w:space="0"/>
            <w:bottom w:val="thickThinSmallGap" w:color="auto" w:sz="24" w:space="0"/>
            <w:right w:val="thickThinSmallGap" w:color="auto" w:sz="2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379" w:type="pct"/>
            <w:vAlign w:val="center"/>
          </w:tcPr>
          <w:p w14:paraId="4AC7A018">
            <w:pPr>
              <w:spacing w:line="360" w:lineRule="auto"/>
              <w:jc w:val="center"/>
              <w:rPr>
                <w:rFonts w:ascii="宋体" w:hAnsi="宋体"/>
                <w:color w:val="000000"/>
                <w:szCs w:val="21"/>
              </w:rPr>
            </w:pPr>
            <w:r>
              <w:rPr>
                <w:rFonts w:ascii="宋体" w:hAnsi="宋体"/>
                <w:color w:val="000000"/>
                <w:szCs w:val="21"/>
              </w:rPr>
              <w:t>4</w:t>
            </w:r>
          </w:p>
        </w:tc>
        <w:tc>
          <w:tcPr>
            <w:tcW w:w="931" w:type="pct"/>
            <w:vAlign w:val="center"/>
          </w:tcPr>
          <w:p w14:paraId="61B0744B">
            <w:pPr>
              <w:spacing w:line="400" w:lineRule="exact"/>
              <w:rPr>
                <w:rFonts w:ascii="宋体" w:hAnsi="宋体"/>
                <w:color w:val="000000"/>
                <w:szCs w:val="21"/>
              </w:rPr>
            </w:pPr>
            <w:r>
              <w:rPr>
                <w:rFonts w:hint="eastAsia" w:ascii="宋体" w:hAnsi="宋体"/>
                <w:color w:val="000000"/>
                <w:szCs w:val="21"/>
              </w:rPr>
              <w:t>企业类似业绩评审</w:t>
            </w:r>
          </w:p>
        </w:tc>
        <w:tc>
          <w:tcPr>
            <w:tcW w:w="3186" w:type="pct"/>
            <w:vAlign w:val="center"/>
          </w:tcPr>
          <w:p w14:paraId="04B0C239">
            <w:pPr>
              <w:snapToGrid w:val="0"/>
              <w:rPr>
                <w:rFonts w:ascii="宋体" w:hAnsi="宋体"/>
                <w:bCs/>
                <w:color w:val="000000"/>
              </w:rPr>
            </w:pPr>
            <w:r>
              <w:rPr>
                <w:rFonts w:hint="eastAsia" w:ascii="宋体" w:hAnsi="宋体" w:cs="宋体"/>
                <w:szCs w:val="21"/>
              </w:rPr>
              <w:t>在满足资格要求的基础上，申请人应提供2022年至本项目响应文件提交截止时间前已完成或正在实施的类似项目业绩，每提供1个有效类似业绩的得2分，分数加满为止</w:t>
            </w:r>
            <w:r>
              <w:rPr>
                <w:rFonts w:hint="eastAsia" w:ascii="宋体" w:hAnsi="宋体" w:cs="宋体"/>
                <w:szCs w:val="21"/>
                <w:lang w:eastAsia="zh-CN"/>
              </w:rPr>
              <w:t>。</w:t>
            </w:r>
          </w:p>
          <w:p w14:paraId="201DEEF3">
            <w:pPr>
              <w:pStyle w:val="8"/>
            </w:pPr>
            <w:r>
              <w:rPr>
                <w:rFonts w:ascii="宋体"/>
                <w:sz w:val="21"/>
                <w:szCs w:val="21"/>
              </w:rPr>
              <w:t>注：资格要求已评审过的类似项目业绩不再重复计分。</w:t>
            </w:r>
          </w:p>
        </w:tc>
        <w:tc>
          <w:tcPr>
            <w:tcW w:w="504" w:type="pct"/>
            <w:vAlign w:val="center"/>
          </w:tcPr>
          <w:p w14:paraId="04CF2C18">
            <w:pPr>
              <w:spacing w:line="360" w:lineRule="auto"/>
              <w:jc w:val="center"/>
              <w:rPr>
                <w:rFonts w:ascii="宋体" w:hAnsi="宋体"/>
                <w:color w:val="000000"/>
                <w:szCs w:val="21"/>
              </w:rPr>
            </w:pPr>
            <w:r>
              <w:rPr>
                <w:rFonts w:hint="eastAsia" w:ascii="宋体" w:hAnsi="宋体"/>
                <w:color w:val="000000"/>
                <w:szCs w:val="21"/>
              </w:rPr>
              <w:t>1</w:t>
            </w:r>
            <w:r>
              <w:rPr>
                <w:rFonts w:ascii="宋体" w:hAnsi="宋体"/>
                <w:color w:val="000000"/>
                <w:szCs w:val="21"/>
              </w:rPr>
              <w:t>0</w:t>
            </w:r>
            <w:r>
              <w:rPr>
                <w:rFonts w:hint="eastAsia" w:ascii="宋体" w:hAnsi="宋体"/>
                <w:color w:val="000000"/>
                <w:szCs w:val="21"/>
              </w:rPr>
              <w:t>分</w:t>
            </w:r>
          </w:p>
        </w:tc>
      </w:tr>
      <w:bookmarkEnd w:id="2"/>
    </w:tbl>
    <w:p w14:paraId="1FEEA5E5">
      <w:pPr>
        <w:spacing w:line="580" w:lineRule="exact"/>
        <w:ind w:firstLine="640" w:firstLineChars="200"/>
        <w:rPr>
          <w:rFonts w:ascii="黑体" w:hAnsi="黑体" w:eastAsia="黑体" w:cs="黑体"/>
          <w:bCs/>
          <w:sz w:val="32"/>
          <w:szCs w:val="32"/>
        </w:rPr>
      </w:pPr>
      <w:r>
        <w:rPr>
          <w:rFonts w:hint="eastAsia" w:ascii="黑体" w:hAnsi="黑体" w:eastAsia="黑体" w:cs="黑体"/>
          <w:bCs/>
          <w:sz w:val="32"/>
          <w:szCs w:val="32"/>
        </w:rPr>
        <w:t>9.监督部门</w:t>
      </w:r>
    </w:p>
    <w:p w14:paraId="30FC37D6">
      <w:pPr>
        <w:spacing w:line="58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昆明城市污水处理运营有限责任公司纪委监察室。</w:t>
      </w:r>
    </w:p>
    <w:p w14:paraId="391EA7F8">
      <w:pPr>
        <w:spacing w:line="580" w:lineRule="exact"/>
        <w:ind w:firstLine="640" w:firstLineChars="200"/>
        <w:rPr>
          <w:rFonts w:ascii="黑体" w:hAnsi="黑体" w:eastAsia="黑体" w:cs="黑体"/>
          <w:bCs/>
          <w:sz w:val="32"/>
          <w:szCs w:val="32"/>
        </w:rPr>
      </w:pPr>
      <w:r>
        <w:rPr>
          <w:rFonts w:hint="eastAsia" w:ascii="黑体" w:hAnsi="黑体" w:eastAsia="黑体" w:cs="黑体"/>
          <w:bCs/>
          <w:sz w:val="32"/>
          <w:szCs w:val="32"/>
        </w:rPr>
        <w:t>10.发布公告的媒介</w:t>
      </w:r>
    </w:p>
    <w:p w14:paraId="6123FC06">
      <w:pPr>
        <w:spacing w:line="58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本次询价比选公告在昆明滇池水务股份有限公司（www.kmdcwt.com）网站发布，采购人对其他网站或媒体转载的公告及公告内容不承担任何责任。</w:t>
      </w:r>
    </w:p>
    <w:p w14:paraId="560C25E7">
      <w:pPr>
        <w:adjustRightInd w:val="0"/>
        <w:snapToGrid w:val="0"/>
        <w:spacing w:line="580" w:lineRule="exact"/>
        <w:ind w:firstLine="640" w:firstLineChars="200"/>
        <w:jc w:val="left"/>
        <w:rPr>
          <w:rFonts w:ascii="黑体" w:hAnsi="黑体" w:eastAsia="黑体" w:cs="黑体"/>
          <w:bCs/>
          <w:sz w:val="32"/>
          <w:szCs w:val="32"/>
        </w:rPr>
      </w:pPr>
      <w:r>
        <w:rPr>
          <w:rFonts w:hint="eastAsia" w:ascii="黑体" w:hAnsi="黑体" w:eastAsia="黑体" w:cs="黑体"/>
          <w:bCs/>
          <w:sz w:val="32"/>
          <w:szCs w:val="32"/>
        </w:rPr>
        <w:t>11.签约、履约</w:t>
      </w:r>
    </w:p>
    <w:p w14:paraId="64E26DA4">
      <w:pPr>
        <w:adjustRightInd w:val="0"/>
        <w:snapToGrid w:val="0"/>
        <w:spacing w:line="58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11.1中标方不得将中标项目转让给他人，也不得将中标项目肢解后转让给他人。</w:t>
      </w:r>
    </w:p>
    <w:p w14:paraId="1AE1F8A3">
      <w:pPr>
        <w:adjustRightInd w:val="0"/>
        <w:snapToGrid w:val="0"/>
        <w:spacing w:line="58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11.2收到中标通知后，采购人和中标方应当自中标通知书发出之日起30 天内签订合同，中标人无正当理由拒签合同的，采购人取消其中标资格，给采购人造成损失的，中标人还应当予以赔偿。</w:t>
      </w:r>
    </w:p>
    <w:p w14:paraId="64116BC1">
      <w:pPr>
        <w:adjustRightInd w:val="0"/>
        <w:snapToGrid w:val="0"/>
        <w:spacing w:line="580" w:lineRule="exact"/>
        <w:ind w:firstLine="640" w:firstLineChars="200"/>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11.3合同签订后，合作双方应严格按合同履行。</w:t>
      </w:r>
    </w:p>
    <w:p w14:paraId="1985504E">
      <w:pPr>
        <w:adjustRightInd w:val="0"/>
        <w:snapToGrid w:val="0"/>
        <w:spacing w:line="580" w:lineRule="exact"/>
        <w:ind w:firstLine="640" w:firstLineChars="200"/>
        <w:jc w:val="left"/>
        <w:rPr>
          <w:rFonts w:hint="eastAsia" w:ascii="黑体" w:hAnsi="黑体" w:eastAsia="黑体" w:cs="黑体"/>
          <w:bCs/>
          <w:sz w:val="32"/>
          <w:szCs w:val="32"/>
        </w:rPr>
      </w:pPr>
      <w:r>
        <w:rPr>
          <w:rFonts w:hint="eastAsia" w:ascii="黑体" w:hAnsi="黑体" w:eastAsia="黑体" w:cs="黑体"/>
          <w:bCs/>
          <w:sz w:val="32"/>
          <w:szCs w:val="32"/>
        </w:rPr>
        <w:t>12. 报价文件的递交</w:t>
      </w:r>
    </w:p>
    <w:p w14:paraId="193E162D">
      <w:pPr>
        <w:pStyle w:val="2"/>
        <w:ind w:firstLine="707" w:firstLineChars="221"/>
        <w:rPr>
          <w:rFonts w:hint="eastAsia"/>
        </w:rPr>
      </w:pPr>
      <w:r>
        <w:rPr>
          <w:rFonts w:hint="eastAsia" w:ascii="仿宋_GB2312" w:hAnsi="仿宋_GB2312" w:eastAsia="仿宋_GB2312" w:cs="仿宋_GB2312"/>
          <w:bCs/>
          <w:color w:val="000000"/>
          <w:sz w:val="32"/>
          <w:szCs w:val="32"/>
        </w:rPr>
        <w:t>如贵单位确认参与，请在接到本询价函后2026年2月6日14时以送达的方式送至昆明城市污水处理运营有限责任公司（地址：云南省昆明市官南大道268号第二水质净化厂内）。</w:t>
      </w:r>
    </w:p>
    <w:p w14:paraId="6FC8DC9A">
      <w:pPr>
        <w:adjustRightInd w:val="0"/>
        <w:snapToGrid w:val="0"/>
        <w:spacing w:line="580" w:lineRule="exact"/>
        <w:ind w:firstLine="640" w:firstLineChars="200"/>
        <w:jc w:val="left"/>
        <w:rPr>
          <w:rFonts w:ascii="黑体" w:hAnsi="黑体" w:eastAsia="黑体" w:cs="黑体"/>
          <w:bCs/>
          <w:sz w:val="32"/>
          <w:szCs w:val="32"/>
        </w:rPr>
      </w:pPr>
      <w:r>
        <w:rPr>
          <w:rFonts w:hint="eastAsia" w:ascii="黑体" w:hAnsi="黑体" w:eastAsia="黑体" w:cs="黑体"/>
          <w:bCs/>
          <w:sz w:val="32"/>
          <w:szCs w:val="32"/>
        </w:rPr>
        <w:t>13.联系方式</w:t>
      </w:r>
    </w:p>
    <w:p w14:paraId="53CFBB40">
      <w:pPr>
        <w:spacing w:line="580" w:lineRule="exact"/>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单位名称：昆明城市污水处理运营有限责任公司</w:t>
      </w:r>
    </w:p>
    <w:p w14:paraId="657A90F0">
      <w:pPr>
        <w:spacing w:line="580" w:lineRule="exact"/>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地址：昆明市官南大道268号第二水质净化厂内</w:t>
      </w:r>
    </w:p>
    <w:p w14:paraId="686AFD64">
      <w:pPr>
        <w:spacing w:line="580" w:lineRule="exact"/>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联系人：杨师</w:t>
      </w:r>
    </w:p>
    <w:p w14:paraId="32BBE83C">
      <w:pPr>
        <w:spacing w:line="580" w:lineRule="exact"/>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联系电话：18987797768</w:t>
      </w:r>
    </w:p>
    <w:p w14:paraId="2C09A888">
      <w:pPr>
        <w:rPr>
          <w:rFonts w:ascii="宋体" w:hAnsi="宋体" w:cs="宋体"/>
          <w:szCs w:val="21"/>
        </w:rPr>
      </w:pPr>
    </w:p>
    <w:p w14:paraId="7B2B50DC">
      <w:pPr>
        <w:spacing w:line="580" w:lineRule="exac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附件一：</w:t>
      </w:r>
    </w:p>
    <w:p w14:paraId="6EEA6CEF">
      <w:pPr>
        <w:pStyle w:val="2"/>
        <w:spacing w:after="0" w:line="5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报价表</w:t>
      </w:r>
    </w:p>
    <w:p w14:paraId="44F131CA">
      <w:pPr>
        <w:pStyle w:val="2"/>
        <w:spacing w:after="0" w:line="580" w:lineRule="exact"/>
        <w:rPr>
          <w:rFonts w:ascii="仿宋_GB2312" w:hAnsi="仿宋_GB2312" w:eastAsia="仿宋_GB2312" w:cs="仿宋_GB2312"/>
          <w:color w:val="000000"/>
          <w:sz w:val="32"/>
          <w:szCs w:val="32"/>
          <w:u w:val="single"/>
        </w:rPr>
      </w:pPr>
      <w:r>
        <w:rPr>
          <w:rFonts w:hint="eastAsia" w:ascii="仿宋_GB2312" w:hAnsi="仿宋_GB2312" w:eastAsia="仿宋_GB2312" w:cs="仿宋_GB2312"/>
          <w:color w:val="000000"/>
          <w:sz w:val="32"/>
          <w:szCs w:val="32"/>
        </w:rPr>
        <w:t>致：</w:t>
      </w:r>
      <w:r>
        <w:rPr>
          <w:rFonts w:hint="eastAsia" w:ascii="仿宋_GB2312" w:hAnsi="仿宋_GB2312" w:eastAsia="仿宋_GB2312" w:cs="仿宋_GB2312"/>
          <w:color w:val="000000"/>
          <w:sz w:val="32"/>
          <w:szCs w:val="32"/>
          <w:u w:val="single"/>
        </w:rPr>
        <w:t>昆明城市污水处理运营有限责任公司</w:t>
      </w:r>
    </w:p>
    <w:p w14:paraId="6D209D7E">
      <w:pPr>
        <w:pStyle w:val="2"/>
        <w:spacing w:after="0" w:line="5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经我单位研究，</w:t>
      </w:r>
      <w:bookmarkStart w:id="3" w:name="_Hlk63755697"/>
      <w:r>
        <w:rPr>
          <w:rFonts w:hint="eastAsia" w:ascii="仿宋_GB2312" w:hAnsi="仿宋_GB2312" w:eastAsia="仿宋_GB2312" w:cs="仿宋_GB2312"/>
          <w:color w:val="000000"/>
          <w:sz w:val="32"/>
          <w:szCs w:val="32"/>
          <w:u w:val="single"/>
        </w:rPr>
        <w:t>昆明城市污水处理运营有限责任公司2026年度车辆保险采购</w:t>
      </w:r>
      <w:bookmarkEnd w:id="3"/>
      <w:r>
        <w:rPr>
          <w:rFonts w:hint="eastAsia" w:ascii="仿宋_GB2312" w:hAnsi="仿宋_GB2312" w:eastAsia="仿宋_GB2312" w:cs="仿宋_GB2312"/>
          <w:color w:val="000000"/>
          <w:sz w:val="32"/>
          <w:szCs w:val="32"/>
        </w:rPr>
        <w:t>，我公司报价为：</w:t>
      </w:r>
    </w:p>
    <w:tbl>
      <w:tblPr>
        <w:tblStyle w:val="13"/>
        <w:tblW w:w="10018" w:type="dxa"/>
        <w:jc w:val="center"/>
        <w:tblBorders>
          <w:top w:val="thinThickSmallGap" w:color="auto" w:sz="18" w:space="0"/>
          <w:left w:val="thinThickSmallGap" w:color="auto" w:sz="18" w:space="0"/>
          <w:bottom w:val="thickThinSmallGap" w:color="auto" w:sz="18" w:space="0"/>
          <w:right w:val="thickThinSmallGap"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948"/>
        <w:gridCol w:w="2433"/>
        <w:gridCol w:w="6637"/>
      </w:tblGrid>
      <w:tr w14:paraId="5298EAEA">
        <w:tblPrEx>
          <w:tblBorders>
            <w:top w:val="thinThickSmallGap" w:color="auto" w:sz="18" w:space="0"/>
            <w:left w:val="thinThickSmallGap" w:color="auto" w:sz="18" w:space="0"/>
            <w:bottom w:val="thickThinSmallGap" w:color="auto" w:sz="18" w:space="0"/>
            <w:right w:val="thickThinSmallGap" w:color="auto" w:sz="18" w:space="0"/>
            <w:insideH w:val="single" w:color="auto" w:sz="6" w:space="0"/>
            <w:insideV w:val="single" w:color="auto" w:sz="6" w:space="0"/>
          </w:tblBorders>
          <w:tblCellMar>
            <w:top w:w="0" w:type="dxa"/>
            <w:left w:w="108" w:type="dxa"/>
            <w:bottom w:w="0" w:type="dxa"/>
            <w:right w:w="108" w:type="dxa"/>
          </w:tblCellMar>
        </w:tblPrEx>
        <w:trPr>
          <w:trHeight w:val="1352" w:hRule="atLeast"/>
          <w:jc w:val="center"/>
        </w:trPr>
        <w:tc>
          <w:tcPr>
            <w:tcW w:w="948" w:type="dxa"/>
            <w:shd w:val="clear" w:color="auto" w:fill="8EAADB"/>
            <w:vAlign w:val="center"/>
          </w:tcPr>
          <w:p w14:paraId="306B2ECD">
            <w:pPr>
              <w:jc w:val="center"/>
              <w:rPr>
                <w:rFonts w:ascii="宋体" w:hAnsi="宋体"/>
                <w:b/>
                <w:color w:val="000000"/>
              </w:rPr>
            </w:pPr>
            <w:r>
              <w:rPr>
                <w:rFonts w:hint="eastAsia" w:ascii="宋体" w:hAnsi="宋体"/>
                <w:b/>
                <w:color w:val="000000"/>
              </w:rPr>
              <w:t>序号</w:t>
            </w:r>
          </w:p>
        </w:tc>
        <w:tc>
          <w:tcPr>
            <w:tcW w:w="2433" w:type="dxa"/>
            <w:shd w:val="clear" w:color="auto" w:fill="8EAADB"/>
            <w:vAlign w:val="center"/>
          </w:tcPr>
          <w:p w14:paraId="5F3BF90E">
            <w:pPr>
              <w:jc w:val="center"/>
              <w:rPr>
                <w:rFonts w:ascii="宋体" w:hAnsi="宋体"/>
                <w:b/>
                <w:color w:val="000000"/>
              </w:rPr>
            </w:pPr>
            <w:r>
              <w:rPr>
                <w:rFonts w:hint="eastAsia" w:ascii="宋体" w:hAnsi="宋体"/>
                <w:b/>
                <w:color w:val="000000"/>
              </w:rPr>
              <w:t>名称</w:t>
            </w:r>
          </w:p>
        </w:tc>
        <w:tc>
          <w:tcPr>
            <w:tcW w:w="6637" w:type="dxa"/>
            <w:shd w:val="clear" w:color="auto" w:fill="8EAADB"/>
            <w:vAlign w:val="center"/>
          </w:tcPr>
          <w:p w14:paraId="2CE5FB4A">
            <w:pPr>
              <w:jc w:val="center"/>
              <w:rPr>
                <w:rFonts w:ascii="宋体" w:hAnsi="宋体"/>
                <w:b/>
                <w:color w:val="000000"/>
              </w:rPr>
            </w:pPr>
            <w:r>
              <w:rPr>
                <w:rFonts w:hint="eastAsia" w:ascii="宋体" w:hAnsi="宋体"/>
                <w:b/>
                <w:color w:val="000000"/>
              </w:rPr>
              <w:t>投标人承诺</w:t>
            </w:r>
          </w:p>
        </w:tc>
      </w:tr>
      <w:tr w14:paraId="213B04C7">
        <w:tblPrEx>
          <w:tblBorders>
            <w:top w:val="thinThickSmallGap" w:color="auto" w:sz="18" w:space="0"/>
            <w:left w:val="thinThickSmallGap" w:color="auto" w:sz="18" w:space="0"/>
            <w:bottom w:val="thickThinSmallGap" w:color="auto" w:sz="18" w:space="0"/>
            <w:right w:val="thickThinSmallGap" w:color="auto" w:sz="18" w:space="0"/>
            <w:insideH w:val="single" w:color="auto" w:sz="6" w:space="0"/>
            <w:insideV w:val="single" w:color="auto" w:sz="6" w:space="0"/>
          </w:tblBorders>
          <w:tblCellMar>
            <w:top w:w="0" w:type="dxa"/>
            <w:left w:w="108" w:type="dxa"/>
            <w:bottom w:w="0" w:type="dxa"/>
            <w:right w:w="108" w:type="dxa"/>
          </w:tblCellMar>
        </w:tblPrEx>
        <w:trPr>
          <w:trHeight w:val="720" w:hRule="atLeast"/>
          <w:jc w:val="center"/>
        </w:trPr>
        <w:tc>
          <w:tcPr>
            <w:tcW w:w="948" w:type="dxa"/>
            <w:vMerge w:val="restart"/>
            <w:vAlign w:val="center"/>
          </w:tcPr>
          <w:p w14:paraId="6057C42D">
            <w:pPr>
              <w:jc w:val="center"/>
              <w:rPr>
                <w:rFonts w:ascii="宋体" w:hAnsi="宋体"/>
                <w:color w:val="000000"/>
              </w:rPr>
            </w:pPr>
            <w:r>
              <w:rPr>
                <w:rFonts w:hint="eastAsia" w:ascii="宋体" w:hAnsi="宋体"/>
                <w:color w:val="000000"/>
              </w:rPr>
              <w:t>1</w:t>
            </w:r>
          </w:p>
        </w:tc>
        <w:tc>
          <w:tcPr>
            <w:tcW w:w="2433" w:type="dxa"/>
            <w:vMerge w:val="restart"/>
            <w:vAlign w:val="center"/>
          </w:tcPr>
          <w:p w14:paraId="333AB8CC">
            <w:pPr>
              <w:jc w:val="center"/>
              <w:rPr>
                <w:rFonts w:ascii="宋体" w:hAnsi="宋体"/>
                <w:color w:val="000000"/>
              </w:rPr>
            </w:pPr>
            <w:r>
              <w:rPr>
                <w:rFonts w:hint="eastAsia" w:ascii="宋体" w:hAnsi="宋体"/>
                <w:color w:val="000000"/>
              </w:rPr>
              <w:t>投标报价</w:t>
            </w:r>
          </w:p>
        </w:tc>
        <w:tc>
          <w:tcPr>
            <w:tcW w:w="6637" w:type="dxa"/>
            <w:vAlign w:val="center"/>
          </w:tcPr>
          <w:p w14:paraId="21601051">
            <w:pPr>
              <w:rPr>
                <w:rFonts w:ascii="宋体" w:hAnsi="宋体"/>
                <w:color w:val="000000"/>
              </w:rPr>
            </w:pPr>
            <w:r>
              <w:rPr>
                <w:rFonts w:hint="eastAsia" w:ascii="宋体" w:hAnsi="宋体"/>
                <w:color w:val="000000"/>
              </w:rPr>
              <w:t>交强险：按国家规定</w:t>
            </w:r>
          </w:p>
        </w:tc>
      </w:tr>
      <w:tr w14:paraId="4C4B4DCF">
        <w:tblPrEx>
          <w:tblBorders>
            <w:top w:val="thinThickSmallGap" w:color="auto" w:sz="18" w:space="0"/>
            <w:left w:val="thinThickSmallGap" w:color="auto" w:sz="18" w:space="0"/>
            <w:bottom w:val="thickThinSmallGap" w:color="auto" w:sz="18" w:space="0"/>
            <w:right w:val="thickThinSmallGap" w:color="auto" w:sz="18" w:space="0"/>
            <w:insideH w:val="single" w:color="auto" w:sz="6" w:space="0"/>
            <w:insideV w:val="single" w:color="auto" w:sz="6" w:space="0"/>
          </w:tblBorders>
          <w:tblCellMar>
            <w:top w:w="0" w:type="dxa"/>
            <w:left w:w="108" w:type="dxa"/>
            <w:bottom w:w="0" w:type="dxa"/>
            <w:right w:w="108" w:type="dxa"/>
          </w:tblCellMar>
        </w:tblPrEx>
        <w:trPr>
          <w:trHeight w:val="719" w:hRule="atLeast"/>
          <w:jc w:val="center"/>
        </w:trPr>
        <w:tc>
          <w:tcPr>
            <w:tcW w:w="948" w:type="dxa"/>
            <w:vMerge w:val="continue"/>
            <w:vAlign w:val="center"/>
          </w:tcPr>
          <w:p w14:paraId="150F87C9">
            <w:pPr>
              <w:jc w:val="center"/>
              <w:rPr>
                <w:rFonts w:ascii="宋体" w:hAnsi="宋体"/>
                <w:color w:val="000000"/>
              </w:rPr>
            </w:pPr>
          </w:p>
        </w:tc>
        <w:tc>
          <w:tcPr>
            <w:tcW w:w="2433" w:type="dxa"/>
            <w:vMerge w:val="continue"/>
            <w:vAlign w:val="center"/>
          </w:tcPr>
          <w:p w14:paraId="41735681">
            <w:pPr>
              <w:jc w:val="center"/>
              <w:rPr>
                <w:rFonts w:ascii="宋体" w:hAnsi="宋体"/>
                <w:color w:val="000000"/>
              </w:rPr>
            </w:pPr>
          </w:p>
        </w:tc>
        <w:tc>
          <w:tcPr>
            <w:tcW w:w="6637" w:type="dxa"/>
            <w:vAlign w:val="center"/>
          </w:tcPr>
          <w:p w14:paraId="35A97C61">
            <w:pPr>
              <w:rPr>
                <w:rFonts w:ascii="宋体" w:hAnsi="宋体"/>
                <w:color w:val="000000"/>
                <w:szCs w:val="21"/>
              </w:rPr>
            </w:pPr>
            <w:r>
              <w:rPr>
                <w:rFonts w:hint="eastAsia" w:ascii="宋体" w:hAnsi="宋体"/>
                <w:color w:val="000000"/>
                <w:szCs w:val="21"/>
              </w:rPr>
              <w:t>商业保险自主定价系数：</w:t>
            </w:r>
          </w:p>
        </w:tc>
      </w:tr>
      <w:tr w14:paraId="265E2C7B">
        <w:tblPrEx>
          <w:tblBorders>
            <w:top w:val="thinThickSmallGap" w:color="auto" w:sz="18" w:space="0"/>
            <w:left w:val="thinThickSmallGap" w:color="auto" w:sz="18" w:space="0"/>
            <w:bottom w:val="thickThinSmallGap" w:color="auto" w:sz="18" w:space="0"/>
            <w:right w:val="thickThinSmallGap" w:color="auto" w:sz="18" w:space="0"/>
            <w:insideH w:val="single" w:color="auto" w:sz="6" w:space="0"/>
            <w:insideV w:val="single" w:color="auto" w:sz="6" w:space="0"/>
          </w:tblBorders>
          <w:tblCellMar>
            <w:top w:w="0" w:type="dxa"/>
            <w:left w:w="108" w:type="dxa"/>
            <w:bottom w:w="0" w:type="dxa"/>
            <w:right w:w="108" w:type="dxa"/>
          </w:tblCellMar>
        </w:tblPrEx>
        <w:trPr>
          <w:trHeight w:val="1244" w:hRule="atLeast"/>
          <w:jc w:val="center"/>
        </w:trPr>
        <w:tc>
          <w:tcPr>
            <w:tcW w:w="948" w:type="dxa"/>
            <w:vAlign w:val="center"/>
          </w:tcPr>
          <w:p w14:paraId="4CFC1341">
            <w:pPr>
              <w:jc w:val="center"/>
              <w:rPr>
                <w:rFonts w:ascii="宋体" w:hAnsi="宋体"/>
                <w:color w:val="000000"/>
              </w:rPr>
            </w:pPr>
            <w:r>
              <w:rPr>
                <w:rFonts w:hint="eastAsia" w:ascii="宋体" w:hAnsi="宋体"/>
                <w:color w:val="000000"/>
              </w:rPr>
              <w:t>2</w:t>
            </w:r>
          </w:p>
        </w:tc>
        <w:tc>
          <w:tcPr>
            <w:tcW w:w="2433" w:type="dxa"/>
            <w:vAlign w:val="center"/>
          </w:tcPr>
          <w:p w14:paraId="60EE68C0">
            <w:pPr>
              <w:jc w:val="center"/>
              <w:rPr>
                <w:rFonts w:ascii="宋体" w:hAnsi="宋体"/>
                <w:color w:val="000000"/>
              </w:rPr>
            </w:pPr>
            <w:r>
              <w:rPr>
                <w:rFonts w:hint="eastAsia" w:ascii="宋体" w:hAnsi="宋体"/>
                <w:color w:val="000000"/>
              </w:rPr>
              <w:t>保险服务周期</w:t>
            </w:r>
          </w:p>
        </w:tc>
        <w:tc>
          <w:tcPr>
            <w:tcW w:w="6637" w:type="dxa"/>
            <w:vAlign w:val="center"/>
          </w:tcPr>
          <w:p w14:paraId="740019B9">
            <w:pPr>
              <w:rPr>
                <w:rFonts w:ascii="宋体" w:hAnsi="宋体"/>
                <w:color w:val="000000"/>
              </w:rPr>
            </w:pPr>
            <w:r>
              <w:rPr>
                <w:rFonts w:hint="eastAsia" w:ascii="宋体" w:hAnsi="宋体" w:cs="宋体"/>
                <w:bCs/>
                <w:color w:val="000000"/>
                <w:sz w:val="24"/>
              </w:rPr>
              <w:t>自合同签订生效日之</w:t>
            </w:r>
            <w:r>
              <w:rPr>
                <w:rFonts w:hint="eastAsia" w:ascii="宋体" w:hAnsi="宋体" w:cs="宋体"/>
                <w:bCs/>
                <w:color w:val="000000"/>
                <w:sz w:val="24"/>
                <w:lang w:eastAsia="zh-CN"/>
              </w:rPr>
              <w:t>日起</w:t>
            </w:r>
            <w:r>
              <w:rPr>
                <w:rFonts w:hint="eastAsia" w:ascii="宋体" w:hAnsi="宋体" w:cs="宋体"/>
                <w:bCs/>
                <w:color w:val="000000"/>
                <w:sz w:val="24"/>
              </w:rPr>
              <w:t>1年</w:t>
            </w:r>
          </w:p>
        </w:tc>
      </w:tr>
      <w:tr w14:paraId="528F54A6">
        <w:tblPrEx>
          <w:tblBorders>
            <w:top w:val="thinThickSmallGap" w:color="auto" w:sz="18" w:space="0"/>
            <w:left w:val="thinThickSmallGap" w:color="auto" w:sz="18" w:space="0"/>
            <w:bottom w:val="thickThinSmallGap" w:color="auto" w:sz="18" w:space="0"/>
            <w:right w:val="thickThinSmallGap" w:color="auto" w:sz="18"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948" w:type="dxa"/>
            <w:tcBorders>
              <w:bottom w:val="single" w:color="auto" w:sz="4" w:space="0"/>
            </w:tcBorders>
            <w:vAlign w:val="center"/>
          </w:tcPr>
          <w:p w14:paraId="6D3CC04C">
            <w:pPr>
              <w:jc w:val="center"/>
              <w:rPr>
                <w:rFonts w:ascii="宋体" w:hAnsi="宋体"/>
                <w:bCs/>
                <w:color w:val="000000"/>
              </w:rPr>
            </w:pPr>
            <w:r>
              <w:rPr>
                <w:rFonts w:hint="eastAsia" w:ascii="宋体" w:hAnsi="宋体"/>
                <w:bCs/>
                <w:color w:val="000000"/>
              </w:rPr>
              <w:t>3</w:t>
            </w:r>
          </w:p>
        </w:tc>
        <w:tc>
          <w:tcPr>
            <w:tcW w:w="2433" w:type="dxa"/>
            <w:tcBorders>
              <w:bottom w:val="single" w:color="auto" w:sz="4" w:space="0"/>
            </w:tcBorders>
            <w:vAlign w:val="center"/>
          </w:tcPr>
          <w:p w14:paraId="0CB80084">
            <w:pPr>
              <w:jc w:val="center"/>
              <w:rPr>
                <w:rFonts w:ascii="宋体" w:hAnsi="宋体"/>
                <w:color w:val="000000"/>
              </w:rPr>
            </w:pPr>
            <w:r>
              <w:rPr>
                <w:rFonts w:hint="eastAsia" w:ascii="宋体" w:hAnsi="宋体"/>
                <w:color w:val="000000"/>
              </w:rPr>
              <w:t>质量要求</w:t>
            </w:r>
          </w:p>
        </w:tc>
        <w:tc>
          <w:tcPr>
            <w:tcW w:w="6637" w:type="dxa"/>
            <w:tcBorders>
              <w:bottom w:val="single" w:color="auto" w:sz="4" w:space="0"/>
            </w:tcBorders>
            <w:vAlign w:val="center"/>
          </w:tcPr>
          <w:p w14:paraId="35C7D86B">
            <w:pPr>
              <w:rPr>
                <w:rFonts w:ascii="宋体" w:hAnsi="宋体"/>
                <w:color w:val="000000"/>
              </w:rPr>
            </w:pPr>
          </w:p>
        </w:tc>
      </w:tr>
      <w:tr w14:paraId="3EDBF2A3">
        <w:tblPrEx>
          <w:tblBorders>
            <w:top w:val="thinThickSmallGap" w:color="auto" w:sz="18" w:space="0"/>
            <w:left w:val="thinThickSmallGap" w:color="auto" w:sz="18" w:space="0"/>
            <w:bottom w:val="thickThinSmallGap" w:color="auto" w:sz="18" w:space="0"/>
            <w:right w:val="thickThinSmallGap" w:color="auto" w:sz="18" w:space="0"/>
            <w:insideH w:val="single" w:color="auto" w:sz="6" w:space="0"/>
            <w:insideV w:val="single" w:color="auto" w:sz="6" w:space="0"/>
          </w:tblBorders>
          <w:tblCellMar>
            <w:top w:w="0" w:type="dxa"/>
            <w:left w:w="108" w:type="dxa"/>
            <w:bottom w:w="0" w:type="dxa"/>
            <w:right w:w="108" w:type="dxa"/>
          </w:tblCellMar>
        </w:tblPrEx>
        <w:trPr>
          <w:trHeight w:val="684" w:hRule="atLeast"/>
          <w:jc w:val="center"/>
        </w:trPr>
        <w:tc>
          <w:tcPr>
            <w:tcW w:w="948" w:type="dxa"/>
            <w:tcBorders>
              <w:top w:val="single" w:color="auto" w:sz="4" w:space="0"/>
            </w:tcBorders>
            <w:vAlign w:val="center"/>
          </w:tcPr>
          <w:p w14:paraId="74C22924">
            <w:pPr>
              <w:jc w:val="center"/>
              <w:rPr>
                <w:rFonts w:ascii="宋体" w:hAnsi="宋体"/>
                <w:bCs/>
                <w:color w:val="000000"/>
              </w:rPr>
            </w:pPr>
            <w:r>
              <w:rPr>
                <w:rFonts w:hint="eastAsia" w:ascii="宋体" w:hAnsi="宋体"/>
                <w:bCs/>
                <w:color w:val="000000"/>
              </w:rPr>
              <w:t>4</w:t>
            </w:r>
          </w:p>
        </w:tc>
        <w:tc>
          <w:tcPr>
            <w:tcW w:w="2433" w:type="dxa"/>
            <w:tcBorders>
              <w:top w:val="single" w:color="auto" w:sz="4" w:space="0"/>
            </w:tcBorders>
            <w:vAlign w:val="center"/>
          </w:tcPr>
          <w:p w14:paraId="4303ADE0">
            <w:pPr>
              <w:jc w:val="center"/>
              <w:rPr>
                <w:rFonts w:ascii="宋体" w:hAnsi="宋体"/>
                <w:color w:val="000000"/>
              </w:rPr>
            </w:pPr>
            <w:r>
              <w:rPr>
                <w:rFonts w:hint="eastAsia" w:ascii="宋体" w:hAnsi="宋体"/>
                <w:color w:val="000000"/>
              </w:rPr>
              <w:t>项目负责人</w:t>
            </w:r>
          </w:p>
        </w:tc>
        <w:tc>
          <w:tcPr>
            <w:tcW w:w="6637" w:type="dxa"/>
            <w:tcBorders>
              <w:top w:val="single" w:color="auto" w:sz="4" w:space="0"/>
            </w:tcBorders>
            <w:vAlign w:val="center"/>
          </w:tcPr>
          <w:p w14:paraId="574CAA76">
            <w:pPr>
              <w:rPr>
                <w:rFonts w:ascii="宋体" w:hAnsi="宋体"/>
                <w:color w:val="000000"/>
              </w:rPr>
            </w:pPr>
          </w:p>
        </w:tc>
      </w:tr>
    </w:tbl>
    <w:p w14:paraId="6EB26D23">
      <w:pPr>
        <w:pStyle w:val="2"/>
      </w:pPr>
    </w:p>
    <w:p w14:paraId="3389BF22">
      <w:pPr>
        <w:spacing w:line="580" w:lineRule="exact"/>
        <w:ind w:firstLine="5760" w:firstLineChars="18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单位名称：（盖章）</w:t>
      </w:r>
    </w:p>
    <w:p w14:paraId="58D19A47">
      <w:pPr>
        <w:spacing w:line="580" w:lineRule="exac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法定代表人：（签字或盖章）</w:t>
      </w:r>
    </w:p>
    <w:p w14:paraId="130942D1">
      <w:pPr>
        <w:pStyle w:val="2"/>
        <w:spacing w:after="0" w:line="580" w:lineRule="exac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 xml:space="preserve">                                    时间： 年 月 日</w:t>
      </w:r>
    </w:p>
    <w:p w14:paraId="39371BF6">
      <w:pPr>
        <w:pStyle w:val="2"/>
        <w:spacing w:after="0" w:line="580" w:lineRule="exact"/>
        <w:rPr>
          <w:rFonts w:ascii="仿宋_GB2312" w:hAnsi="仿宋_GB2312" w:eastAsia="仿宋_GB2312" w:cs="仿宋_GB2312"/>
          <w:color w:val="000000"/>
          <w:sz w:val="32"/>
          <w:szCs w:val="32"/>
        </w:rPr>
      </w:pPr>
      <w:r>
        <w:rPr>
          <w:rFonts w:hint="eastAsia" w:cs="宋体"/>
          <w:color w:val="000000"/>
          <w:sz w:val="24"/>
        </w:rPr>
        <w:br w:type="page"/>
      </w:r>
      <w:r>
        <w:rPr>
          <w:rFonts w:hint="eastAsia" w:ascii="仿宋_GB2312" w:hAnsi="仿宋_GB2312" w:eastAsia="仿宋_GB2312" w:cs="仿宋_GB2312"/>
          <w:color w:val="000000"/>
          <w:sz w:val="32"/>
          <w:szCs w:val="32"/>
        </w:rPr>
        <w:t>附件二、</w:t>
      </w:r>
    </w:p>
    <w:p w14:paraId="2C676353">
      <w:pPr>
        <w:pStyle w:val="28"/>
        <w:spacing w:line="580" w:lineRule="exact"/>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承诺书</w:t>
      </w:r>
    </w:p>
    <w:p w14:paraId="25DEA8B2">
      <w:pPr>
        <w:pStyle w:val="28"/>
        <w:spacing w:line="580" w:lineRule="exact"/>
        <w:jc w:val="center"/>
        <w:rPr>
          <w:rFonts w:ascii="仿宋_GB2312" w:hAnsi="仿宋_GB2312" w:eastAsia="仿宋_GB2312" w:cs="仿宋_GB2312"/>
          <w:color w:val="000000"/>
          <w:sz w:val="32"/>
          <w:szCs w:val="32"/>
          <w:u w:val="single"/>
          <w:lang w:val="zh-CN"/>
        </w:rPr>
      </w:pPr>
    </w:p>
    <w:p w14:paraId="06286FC8">
      <w:pPr>
        <w:pStyle w:val="28"/>
        <w:spacing w:line="58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本企业参与</w:t>
      </w:r>
      <w:r>
        <w:rPr>
          <w:rFonts w:hint="eastAsia" w:ascii="仿宋_GB2312" w:hAnsi="仿宋_GB2312" w:eastAsia="仿宋_GB2312" w:cs="仿宋_GB2312"/>
          <w:color w:val="000000"/>
          <w:sz w:val="32"/>
          <w:szCs w:val="32"/>
          <w:u w:val="single"/>
        </w:rPr>
        <w:t>昆明城市污水处理运营有限责任公司2026年度车辆保险采购</w:t>
      </w:r>
      <w:r>
        <w:rPr>
          <w:rFonts w:hint="eastAsia" w:ascii="仿宋_GB2312" w:hAnsi="仿宋_GB2312" w:eastAsia="仿宋_GB2312" w:cs="仿宋_GB2312"/>
          <w:color w:val="000000"/>
          <w:sz w:val="32"/>
          <w:szCs w:val="32"/>
          <w:lang w:val="zh-CN"/>
        </w:rPr>
        <w:t>项目的</w:t>
      </w:r>
      <w:r>
        <w:rPr>
          <w:rFonts w:hint="eastAsia" w:ascii="仿宋_GB2312" w:hAnsi="仿宋_GB2312" w:eastAsia="仿宋_GB2312" w:cs="仿宋_GB2312"/>
          <w:color w:val="000000"/>
          <w:sz w:val="32"/>
          <w:szCs w:val="32"/>
        </w:rPr>
        <w:t>询价</w:t>
      </w:r>
      <w:r>
        <w:rPr>
          <w:rFonts w:hint="eastAsia" w:ascii="仿宋_GB2312" w:hAnsi="仿宋_GB2312" w:eastAsia="仿宋_GB2312" w:cs="仿宋_GB2312"/>
          <w:color w:val="000000"/>
          <w:sz w:val="32"/>
          <w:szCs w:val="32"/>
          <w:lang w:val="zh-CN"/>
        </w:rPr>
        <w:t>，现作如下承诺：</w:t>
      </w:r>
    </w:p>
    <w:p w14:paraId="1438E704">
      <w:pPr>
        <w:pStyle w:val="28"/>
        <w:spacing w:line="58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1.我公司参与此次</w:t>
      </w:r>
      <w:r>
        <w:rPr>
          <w:rFonts w:hint="eastAsia" w:ascii="仿宋_GB2312" w:hAnsi="仿宋_GB2312" w:eastAsia="仿宋_GB2312" w:cs="仿宋_GB2312"/>
          <w:color w:val="000000"/>
          <w:sz w:val="32"/>
          <w:szCs w:val="32"/>
        </w:rPr>
        <w:t>询价</w:t>
      </w:r>
      <w:r>
        <w:rPr>
          <w:rFonts w:hint="eastAsia" w:ascii="仿宋_GB2312" w:hAnsi="仿宋_GB2312" w:eastAsia="仿宋_GB2312" w:cs="仿宋_GB2312"/>
          <w:color w:val="000000"/>
          <w:sz w:val="32"/>
          <w:szCs w:val="32"/>
          <w:lang w:val="zh-CN"/>
        </w:rPr>
        <w:t>活动所提交的所有资料都是合法、真实、有效的。</w:t>
      </w:r>
    </w:p>
    <w:p w14:paraId="6B2C83BE">
      <w:pPr>
        <w:pStyle w:val="28"/>
        <w:spacing w:line="58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2.不与其他投标人串通投标、围标，依法、依规公平竞争，不损害招标人或其他投标人的合法权益。</w:t>
      </w:r>
    </w:p>
    <w:p w14:paraId="4F33672C">
      <w:pPr>
        <w:pStyle w:val="28"/>
        <w:spacing w:line="58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3.不转让、出租、出借资质证书、人员岗位证书，不以法律法规禁止的方式投标。</w:t>
      </w:r>
    </w:p>
    <w:p w14:paraId="1C837C25">
      <w:pPr>
        <w:pStyle w:val="28"/>
        <w:spacing w:line="58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4.不与招标人串通投标，不损害国家利益、社会公共利益或其他当事人的合法权益。</w:t>
      </w:r>
    </w:p>
    <w:p w14:paraId="2D262C8F">
      <w:pPr>
        <w:pStyle w:val="28"/>
        <w:spacing w:line="58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5.不向招标人、评标委员会成员、监督人员行贿。</w:t>
      </w:r>
    </w:p>
    <w:p w14:paraId="01EAC6A1">
      <w:pPr>
        <w:pStyle w:val="28"/>
        <w:spacing w:line="58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6.不扰乱秩序。</w:t>
      </w:r>
    </w:p>
    <w:p w14:paraId="25C4E16F">
      <w:pPr>
        <w:pStyle w:val="28"/>
        <w:spacing w:line="58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7.不进行虚假恶意投诉。</w:t>
      </w:r>
    </w:p>
    <w:p w14:paraId="47E2C2C0">
      <w:pPr>
        <w:pStyle w:val="28"/>
        <w:spacing w:line="58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8.因违反法律法规或相关规定被查处的，不干预案件查处。</w:t>
      </w:r>
    </w:p>
    <w:p w14:paraId="47CEBBAC">
      <w:pPr>
        <w:pStyle w:val="28"/>
        <w:spacing w:line="58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如出现违法、违规或不良行为，自愿接受纪检监察机关或司法机关调查处理。违法、违规或不良行为事实成立的，承担相关责任。给招标人造成损失的，依法承担赔偿责任。</w:t>
      </w:r>
    </w:p>
    <w:p w14:paraId="5AEF7828">
      <w:pPr>
        <w:pStyle w:val="28"/>
        <w:spacing w:line="580" w:lineRule="exact"/>
        <w:rPr>
          <w:rFonts w:ascii="仿宋_GB2312" w:hAnsi="仿宋_GB2312" w:eastAsia="仿宋_GB2312" w:cs="仿宋_GB2312"/>
          <w:color w:val="000000"/>
          <w:sz w:val="32"/>
          <w:szCs w:val="32"/>
          <w:lang w:val="zh-CN"/>
        </w:rPr>
      </w:pPr>
    </w:p>
    <w:p w14:paraId="2251A2FD">
      <w:pPr>
        <w:pStyle w:val="28"/>
        <w:spacing w:line="580" w:lineRule="exact"/>
        <w:ind w:firstLine="640" w:firstLineChars="200"/>
        <w:rPr>
          <w:rFonts w:ascii="仿宋_GB2312" w:hAnsi="仿宋_GB2312" w:eastAsia="仿宋_GB2312" w:cs="仿宋_GB2312"/>
          <w:color w:val="000000"/>
          <w:sz w:val="32"/>
          <w:szCs w:val="32"/>
          <w:u w:val="single"/>
          <w:lang w:val="zh-CN"/>
        </w:rPr>
      </w:pPr>
      <w:r>
        <w:rPr>
          <w:rFonts w:hint="eastAsia" w:ascii="仿宋_GB2312" w:hAnsi="仿宋_GB2312" w:eastAsia="仿宋_GB2312" w:cs="仿宋_GB2312"/>
          <w:color w:val="000000"/>
          <w:sz w:val="32"/>
          <w:szCs w:val="32"/>
          <w:lang w:val="zh-CN"/>
        </w:rPr>
        <w:t>单位名称：</w:t>
      </w:r>
      <w:r>
        <w:rPr>
          <w:rFonts w:hint="eastAsia" w:ascii="仿宋_GB2312" w:hAnsi="仿宋_GB2312" w:eastAsia="仿宋_GB2312" w:cs="仿宋_GB2312"/>
          <w:color w:val="000000"/>
          <w:sz w:val="32"/>
          <w:szCs w:val="32"/>
          <w:u w:val="single"/>
          <w:lang w:val="zh-CN"/>
        </w:rPr>
        <w:t>___________________________</w:t>
      </w:r>
      <w:r>
        <w:rPr>
          <w:rFonts w:hint="eastAsia" w:ascii="仿宋_GB2312" w:hAnsi="仿宋_GB2312" w:eastAsia="仿宋_GB2312" w:cs="仿宋_GB2312"/>
          <w:color w:val="000000"/>
          <w:sz w:val="32"/>
          <w:szCs w:val="32"/>
        </w:rPr>
        <w:t>（盖章）</w:t>
      </w:r>
    </w:p>
    <w:p w14:paraId="30FFD876">
      <w:pPr>
        <w:pStyle w:val="28"/>
        <w:spacing w:line="580" w:lineRule="exact"/>
        <w:ind w:firstLine="640" w:firstLineChars="200"/>
        <w:rPr>
          <w:rFonts w:ascii="仿宋_GB2312" w:hAnsi="仿宋_GB2312" w:eastAsia="仿宋_GB2312" w:cs="仿宋_GB2312"/>
          <w:color w:val="000000"/>
          <w:sz w:val="32"/>
          <w:szCs w:val="32"/>
          <w:u w:val="single"/>
          <w:lang w:val="zh-CN"/>
        </w:rPr>
      </w:pPr>
      <w:r>
        <w:rPr>
          <w:rFonts w:hint="eastAsia" w:ascii="仿宋_GB2312" w:hAnsi="仿宋_GB2312" w:eastAsia="仿宋_GB2312" w:cs="仿宋_GB2312"/>
          <w:color w:val="000000"/>
          <w:sz w:val="32"/>
          <w:szCs w:val="32"/>
          <w:lang w:val="zh-CN"/>
        </w:rPr>
        <w:t>法定代表人：</w:t>
      </w:r>
      <w:r>
        <w:rPr>
          <w:rFonts w:hint="eastAsia" w:ascii="仿宋_GB2312" w:hAnsi="仿宋_GB2312" w:eastAsia="仿宋_GB2312" w:cs="仿宋_GB2312"/>
          <w:color w:val="000000"/>
          <w:sz w:val="32"/>
          <w:szCs w:val="32"/>
          <w:u w:val="single"/>
          <w:lang w:val="zh-CN"/>
        </w:rPr>
        <w:t>________________________</w:t>
      </w:r>
      <w:r>
        <w:rPr>
          <w:rFonts w:hint="eastAsia" w:ascii="仿宋_GB2312" w:hAnsi="仿宋_GB2312" w:eastAsia="仿宋_GB2312" w:cs="仿宋_GB2312"/>
          <w:color w:val="000000"/>
          <w:sz w:val="32"/>
          <w:szCs w:val="32"/>
          <w:lang w:val="zh-CN"/>
        </w:rPr>
        <w:t>（</w:t>
      </w:r>
      <w:r>
        <w:rPr>
          <w:rFonts w:hint="eastAsia" w:ascii="仿宋_GB2312" w:hAnsi="仿宋_GB2312" w:eastAsia="仿宋_GB2312" w:cs="仿宋_GB2312"/>
          <w:color w:val="000000"/>
          <w:sz w:val="32"/>
          <w:szCs w:val="32"/>
        </w:rPr>
        <w:t>签字或盖章</w:t>
      </w:r>
      <w:r>
        <w:rPr>
          <w:rFonts w:hint="eastAsia" w:ascii="仿宋_GB2312" w:hAnsi="仿宋_GB2312" w:eastAsia="仿宋_GB2312" w:cs="仿宋_GB2312"/>
          <w:color w:val="000000"/>
          <w:sz w:val="32"/>
          <w:szCs w:val="32"/>
          <w:lang w:val="zh-CN"/>
        </w:rPr>
        <w:t>）</w:t>
      </w:r>
    </w:p>
    <w:p w14:paraId="4D6645FB">
      <w:pPr>
        <w:pStyle w:val="28"/>
        <w:spacing w:line="5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u w:val="single"/>
        </w:rPr>
        <w:t>________</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u w:val="single"/>
        </w:rPr>
        <w:t>_____</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u w:val="single"/>
        </w:rPr>
        <w:t>______</w:t>
      </w:r>
      <w:r>
        <w:rPr>
          <w:rFonts w:hint="eastAsia" w:ascii="仿宋_GB2312" w:hAnsi="仿宋_GB2312" w:eastAsia="仿宋_GB2312" w:cs="仿宋_GB2312"/>
          <w:color w:val="000000"/>
          <w:sz w:val="32"/>
          <w:szCs w:val="32"/>
        </w:rPr>
        <w:t>日</w:t>
      </w:r>
    </w:p>
    <w:p w14:paraId="239A9D3C">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附件三、</w:t>
      </w:r>
    </w:p>
    <w:p w14:paraId="1FD09B3F">
      <w:pPr>
        <w:pStyle w:val="28"/>
        <w:spacing w:line="360" w:lineRule="auto"/>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信誉承诺</w:t>
      </w:r>
    </w:p>
    <w:p w14:paraId="79F3AB12">
      <w:pPr>
        <w:pStyle w:val="28"/>
        <w:spacing w:line="360" w:lineRule="auto"/>
        <w:jc w:val="center"/>
        <w:rPr>
          <w:rFonts w:ascii="仿宋_GB2312" w:hAnsi="仿宋_GB2312" w:eastAsia="仿宋_GB2312" w:cs="仿宋_GB2312"/>
          <w:color w:val="000000"/>
          <w:sz w:val="32"/>
          <w:szCs w:val="32"/>
        </w:rPr>
      </w:pPr>
    </w:p>
    <w:p w14:paraId="3D1A11AF">
      <w:pPr>
        <w:pStyle w:val="28"/>
        <w:spacing w:line="360" w:lineRule="auto"/>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我公司2023年至今信誉良好，没有处于被责令停业，投标资格被取消，财产被接管、冻结、破产状态；没有骗取中标和严重违约的情况。</w:t>
      </w:r>
    </w:p>
    <w:p w14:paraId="48172CE3">
      <w:pPr>
        <w:pStyle w:val="28"/>
        <w:spacing w:line="360" w:lineRule="auto"/>
        <w:ind w:firstLine="640" w:firstLineChars="200"/>
        <w:rPr>
          <w:rFonts w:ascii="仿宋_GB2312" w:hAnsi="仿宋_GB2312" w:eastAsia="仿宋_GB2312" w:cs="仿宋_GB2312"/>
          <w:color w:val="FF0000"/>
          <w:sz w:val="32"/>
          <w:szCs w:val="32"/>
        </w:rPr>
      </w:pPr>
      <w:r>
        <w:rPr>
          <w:rFonts w:hint="eastAsia" w:ascii="仿宋_GB2312" w:hAnsi="仿宋_GB2312" w:eastAsia="仿宋_GB2312" w:cs="仿宋_GB2312"/>
          <w:color w:val="000000"/>
          <w:sz w:val="32"/>
          <w:szCs w:val="32"/>
        </w:rPr>
        <w:t>附信用中国查询网络截图</w:t>
      </w:r>
    </w:p>
    <w:p w14:paraId="4A0EC9F3">
      <w:pPr>
        <w:pStyle w:val="28"/>
        <w:spacing w:line="360" w:lineRule="auto"/>
        <w:ind w:firstLine="640" w:firstLineChars="200"/>
        <w:rPr>
          <w:rFonts w:ascii="仿宋_GB2312" w:hAnsi="仿宋_GB2312" w:eastAsia="仿宋_GB2312" w:cs="仿宋_GB2312"/>
          <w:color w:val="000000"/>
          <w:sz w:val="32"/>
          <w:szCs w:val="32"/>
          <w:lang w:val="zh-CN"/>
        </w:rPr>
      </w:pPr>
    </w:p>
    <w:p w14:paraId="77D810DF">
      <w:pPr>
        <w:pStyle w:val="28"/>
        <w:spacing w:line="360" w:lineRule="auto"/>
        <w:ind w:firstLine="640" w:firstLineChars="200"/>
        <w:rPr>
          <w:rFonts w:ascii="仿宋_GB2312" w:hAnsi="仿宋_GB2312" w:eastAsia="仿宋_GB2312" w:cs="仿宋_GB2312"/>
          <w:color w:val="000000"/>
          <w:sz w:val="32"/>
          <w:szCs w:val="32"/>
          <w:lang w:val="zh-CN"/>
        </w:rPr>
      </w:pPr>
    </w:p>
    <w:p w14:paraId="2BE7CF0A">
      <w:pPr>
        <w:pStyle w:val="28"/>
        <w:spacing w:line="360" w:lineRule="auto"/>
        <w:ind w:firstLine="640" w:firstLineChars="200"/>
        <w:rPr>
          <w:rFonts w:ascii="仿宋_GB2312" w:hAnsi="仿宋_GB2312" w:eastAsia="仿宋_GB2312" w:cs="仿宋_GB2312"/>
          <w:color w:val="000000"/>
          <w:sz w:val="32"/>
          <w:szCs w:val="32"/>
          <w:u w:val="single"/>
          <w:lang w:val="zh-CN"/>
        </w:rPr>
      </w:pPr>
      <w:r>
        <w:rPr>
          <w:rFonts w:hint="eastAsia" w:ascii="仿宋_GB2312" w:hAnsi="仿宋_GB2312" w:eastAsia="仿宋_GB2312" w:cs="仿宋_GB2312"/>
          <w:color w:val="000000"/>
          <w:sz w:val="32"/>
          <w:szCs w:val="32"/>
          <w:lang w:val="zh-CN"/>
        </w:rPr>
        <w:t>单位名称：</w:t>
      </w:r>
      <w:r>
        <w:rPr>
          <w:rFonts w:hint="eastAsia" w:ascii="仿宋_GB2312" w:hAnsi="仿宋_GB2312" w:eastAsia="仿宋_GB2312" w:cs="仿宋_GB2312"/>
          <w:color w:val="000000"/>
          <w:sz w:val="32"/>
          <w:szCs w:val="32"/>
          <w:u w:val="single"/>
          <w:lang w:val="zh-CN"/>
        </w:rPr>
        <w:t>___________________________</w:t>
      </w:r>
      <w:r>
        <w:rPr>
          <w:rFonts w:hint="eastAsia" w:ascii="仿宋_GB2312" w:hAnsi="仿宋_GB2312" w:eastAsia="仿宋_GB2312" w:cs="仿宋_GB2312"/>
          <w:color w:val="000000"/>
          <w:sz w:val="32"/>
          <w:szCs w:val="32"/>
        </w:rPr>
        <w:t>（盖章）</w:t>
      </w:r>
    </w:p>
    <w:p w14:paraId="4F9A2AE2">
      <w:pPr>
        <w:pStyle w:val="28"/>
        <w:spacing w:line="360" w:lineRule="auto"/>
        <w:ind w:firstLine="640" w:firstLineChars="200"/>
        <w:rPr>
          <w:rFonts w:ascii="仿宋_GB2312" w:hAnsi="仿宋_GB2312" w:eastAsia="仿宋_GB2312" w:cs="仿宋_GB2312"/>
          <w:color w:val="000000"/>
          <w:sz w:val="32"/>
          <w:szCs w:val="32"/>
          <w:u w:val="single"/>
          <w:lang w:val="zh-CN"/>
        </w:rPr>
      </w:pPr>
      <w:r>
        <w:rPr>
          <w:rFonts w:hint="eastAsia" w:ascii="仿宋_GB2312" w:hAnsi="仿宋_GB2312" w:eastAsia="仿宋_GB2312" w:cs="仿宋_GB2312"/>
          <w:color w:val="000000"/>
          <w:sz w:val="32"/>
          <w:szCs w:val="32"/>
          <w:lang w:val="zh-CN"/>
        </w:rPr>
        <w:t>法定代表人：</w:t>
      </w:r>
      <w:r>
        <w:rPr>
          <w:rFonts w:hint="eastAsia" w:ascii="仿宋_GB2312" w:hAnsi="仿宋_GB2312" w:eastAsia="仿宋_GB2312" w:cs="仿宋_GB2312"/>
          <w:color w:val="000000"/>
          <w:sz w:val="32"/>
          <w:szCs w:val="32"/>
          <w:u w:val="single"/>
          <w:lang w:val="zh-CN"/>
        </w:rPr>
        <w:t>________________________</w:t>
      </w:r>
      <w:r>
        <w:rPr>
          <w:rFonts w:hint="eastAsia" w:ascii="仿宋_GB2312" w:hAnsi="仿宋_GB2312" w:eastAsia="仿宋_GB2312" w:cs="仿宋_GB2312"/>
          <w:color w:val="000000"/>
          <w:sz w:val="32"/>
          <w:szCs w:val="32"/>
          <w:lang w:val="zh-CN"/>
        </w:rPr>
        <w:t>（</w:t>
      </w:r>
      <w:r>
        <w:rPr>
          <w:rFonts w:hint="eastAsia" w:ascii="仿宋_GB2312" w:hAnsi="仿宋_GB2312" w:eastAsia="仿宋_GB2312" w:cs="仿宋_GB2312"/>
          <w:color w:val="000000"/>
          <w:sz w:val="32"/>
          <w:szCs w:val="32"/>
        </w:rPr>
        <w:t>签字或盖章</w:t>
      </w:r>
      <w:r>
        <w:rPr>
          <w:rFonts w:hint="eastAsia" w:ascii="仿宋_GB2312" w:hAnsi="仿宋_GB2312" w:eastAsia="仿宋_GB2312" w:cs="仿宋_GB2312"/>
          <w:color w:val="000000"/>
          <w:sz w:val="32"/>
          <w:szCs w:val="32"/>
          <w:lang w:val="zh-CN"/>
        </w:rPr>
        <w:t>）</w:t>
      </w:r>
    </w:p>
    <w:p w14:paraId="0646AA29">
      <w:pPr>
        <w:pStyle w:val="28"/>
        <w:spacing w:line="360" w:lineRule="auto"/>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u w:val="single"/>
        </w:rPr>
        <w:t>________</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u w:val="single"/>
        </w:rPr>
        <w:t>_____</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u w:val="single"/>
        </w:rPr>
        <w:t>______</w:t>
      </w:r>
      <w:r>
        <w:rPr>
          <w:rFonts w:hint="eastAsia" w:ascii="仿宋_GB2312" w:hAnsi="仿宋_GB2312" w:eastAsia="仿宋_GB2312" w:cs="仿宋_GB2312"/>
          <w:color w:val="000000"/>
          <w:sz w:val="32"/>
          <w:szCs w:val="32"/>
        </w:rPr>
        <w:t>日</w:t>
      </w:r>
    </w:p>
    <w:p w14:paraId="3083369C">
      <w:pPr>
        <w:pStyle w:val="28"/>
        <w:spacing w:line="360" w:lineRule="auto"/>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br w:type="page"/>
      </w:r>
      <w:r>
        <w:rPr>
          <w:rFonts w:hint="eastAsia" w:ascii="仿宋_GB2312" w:hAnsi="仿宋_GB2312" w:eastAsia="仿宋_GB2312" w:cs="仿宋_GB2312"/>
          <w:color w:val="000000"/>
          <w:sz w:val="32"/>
          <w:szCs w:val="32"/>
        </w:rPr>
        <w:t>附件四、</w:t>
      </w:r>
    </w:p>
    <w:p w14:paraId="22093F5D">
      <w:pPr>
        <w:pStyle w:val="28"/>
        <w:spacing w:line="360" w:lineRule="auto"/>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竞价承诺函</w:t>
      </w:r>
    </w:p>
    <w:p w14:paraId="6BC5390F">
      <w:pPr>
        <w:tabs>
          <w:tab w:val="left" w:pos="7560"/>
        </w:tabs>
        <w:spacing w:beforeLines="50" w:line="360" w:lineRule="auto"/>
        <w:ind w:firstLine="566" w:firstLineChars="177"/>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1.</w:t>
      </w:r>
      <w:r>
        <w:rPr>
          <w:rFonts w:hint="eastAsia" w:ascii="仿宋_GB2312" w:hAnsi="仿宋_GB2312" w:eastAsia="仿宋_GB2312" w:cs="仿宋_GB2312"/>
          <w:color w:val="000000"/>
          <w:sz w:val="32"/>
          <w:szCs w:val="32"/>
        </w:rPr>
        <w:t>一旦我方竞价成功，我方保证在收到中选</w:t>
      </w:r>
      <w:r>
        <w:rPr>
          <w:rFonts w:hint="eastAsia" w:ascii="仿宋_GB2312" w:hAnsi="仿宋_GB2312" w:eastAsia="仿宋_GB2312" w:cs="仿宋_GB2312"/>
          <w:color w:val="000000"/>
          <w:sz w:val="32"/>
          <w:szCs w:val="32"/>
          <w:lang w:eastAsia="zh-CN"/>
        </w:rPr>
        <w:t>通知书</w:t>
      </w:r>
      <w:r>
        <w:rPr>
          <w:rFonts w:hint="eastAsia" w:ascii="仿宋_GB2312" w:hAnsi="仿宋_GB2312" w:eastAsia="仿宋_GB2312" w:cs="仿宋_GB2312"/>
          <w:color w:val="000000"/>
          <w:sz w:val="32"/>
          <w:szCs w:val="32"/>
        </w:rPr>
        <w:t>后，在招标人规定的时间内开始工作，并在合同书所规定的时间内完成工作。</w:t>
      </w:r>
    </w:p>
    <w:p w14:paraId="60A7BBAD">
      <w:pPr>
        <w:tabs>
          <w:tab w:val="left" w:pos="7560"/>
        </w:tabs>
        <w:spacing w:beforeLines="50" w:line="360" w:lineRule="auto"/>
        <w:ind w:firstLine="566" w:firstLineChars="177"/>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2.</w:t>
      </w:r>
      <w:r>
        <w:rPr>
          <w:rFonts w:hint="eastAsia" w:ascii="仿宋_GB2312" w:hAnsi="仿宋_GB2312" w:eastAsia="仿宋_GB2312" w:cs="仿宋_GB2312"/>
          <w:color w:val="000000"/>
          <w:sz w:val="32"/>
          <w:szCs w:val="32"/>
        </w:rPr>
        <w:t>除非另外达成协议并生效，你方的中标通知和本竞价文件是我们双方合同的组成部分，我方愿按《中华人民共和国民法典》及其他有关</w:t>
      </w:r>
      <w:r>
        <w:rPr>
          <w:rFonts w:hint="eastAsia" w:ascii="仿宋_GB2312" w:hAnsi="仿宋_GB2312" w:eastAsia="仿宋_GB2312" w:cs="仿宋_GB2312"/>
          <w:color w:val="000000"/>
          <w:sz w:val="32"/>
          <w:szCs w:val="32"/>
          <w:lang w:eastAsia="zh-CN"/>
        </w:rPr>
        <w:t>法律法规</w:t>
      </w:r>
      <w:r>
        <w:rPr>
          <w:rFonts w:hint="eastAsia" w:ascii="仿宋_GB2312" w:hAnsi="仿宋_GB2312" w:eastAsia="仿宋_GB2312" w:cs="仿宋_GB2312"/>
          <w:color w:val="000000"/>
          <w:sz w:val="32"/>
          <w:szCs w:val="32"/>
        </w:rPr>
        <w:t>的规定，自觉履行自己的全部责任。</w:t>
      </w:r>
    </w:p>
    <w:p w14:paraId="3D612337">
      <w:pPr>
        <w:tabs>
          <w:tab w:val="left" w:pos="7560"/>
        </w:tabs>
        <w:spacing w:beforeLines="50" w:line="360" w:lineRule="auto"/>
        <w:ind w:left="1" w:firstLine="566" w:firstLineChars="177"/>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3在此我方郑重承诺：我方将按招标人的要求提供后续服务。</w:t>
      </w:r>
    </w:p>
    <w:p w14:paraId="720BD3AD">
      <w:pPr>
        <w:tabs>
          <w:tab w:val="left" w:pos="7560"/>
        </w:tabs>
        <w:spacing w:beforeLines="50" w:line="360" w:lineRule="auto"/>
        <w:ind w:left="1" w:firstLine="566" w:firstLineChars="177"/>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4.若因我方过错或违约导致造成损失的，愿意承担全部损失并支付合同价款10%的违约金</w:t>
      </w:r>
      <w:r>
        <w:rPr>
          <w:rFonts w:hint="eastAsia" w:ascii="仿宋_GB2312" w:hAnsi="仿宋_GB2312" w:eastAsia="仿宋_GB2312" w:cs="仿宋_GB2312"/>
          <w:color w:val="000000"/>
          <w:sz w:val="32"/>
          <w:szCs w:val="32"/>
          <w:lang w:eastAsia="zh-CN"/>
        </w:rPr>
        <w:t>。</w:t>
      </w:r>
    </w:p>
    <w:p w14:paraId="2064E247">
      <w:pPr>
        <w:tabs>
          <w:tab w:val="left" w:pos="7560"/>
        </w:tabs>
        <w:spacing w:beforeLines="50" w:line="360" w:lineRule="auto"/>
        <w:ind w:left="1" w:firstLine="566" w:firstLineChars="177"/>
        <w:rPr>
          <w:rFonts w:ascii="仿宋_GB2312" w:hAnsi="仿宋_GB2312" w:eastAsia="仿宋_GB2312" w:cs="仿宋_GB2312"/>
          <w:color w:val="000000"/>
          <w:sz w:val="32"/>
          <w:szCs w:val="32"/>
        </w:rPr>
      </w:pPr>
    </w:p>
    <w:p w14:paraId="040E196E">
      <w:pPr>
        <w:pStyle w:val="28"/>
        <w:spacing w:line="360" w:lineRule="auto"/>
        <w:ind w:firstLine="640" w:firstLineChars="200"/>
        <w:rPr>
          <w:rFonts w:ascii="仿宋_GB2312" w:hAnsi="仿宋_GB2312" w:eastAsia="仿宋_GB2312" w:cs="仿宋_GB2312"/>
          <w:color w:val="000000"/>
          <w:sz w:val="32"/>
          <w:szCs w:val="32"/>
          <w:u w:val="single"/>
          <w:lang w:val="zh-CN"/>
        </w:rPr>
      </w:pPr>
      <w:r>
        <w:rPr>
          <w:rFonts w:hint="eastAsia" w:ascii="仿宋_GB2312" w:hAnsi="仿宋_GB2312" w:eastAsia="仿宋_GB2312" w:cs="仿宋_GB2312"/>
          <w:color w:val="000000"/>
          <w:sz w:val="32"/>
          <w:szCs w:val="32"/>
          <w:lang w:val="zh-CN"/>
        </w:rPr>
        <w:t>单位名称：</w:t>
      </w:r>
      <w:r>
        <w:rPr>
          <w:rFonts w:hint="eastAsia" w:ascii="仿宋_GB2312" w:hAnsi="仿宋_GB2312" w:eastAsia="仿宋_GB2312" w:cs="仿宋_GB2312"/>
          <w:color w:val="000000"/>
          <w:sz w:val="32"/>
          <w:szCs w:val="32"/>
          <w:u w:val="single"/>
          <w:lang w:val="zh-CN"/>
        </w:rPr>
        <w:t>___________________________</w:t>
      </w:r>
      <w:r>
        <w:rPr>
          <w:rFonts w:hint="eastAsia" w:ascii="仿宋_GB2312" w:hAnsi="仿宋_GB2312" w:eastAsia="仿宋_GB2312" w:cs="仿宋_GB2312"/>
          <w:color w:val="000000"/>
          <w:sz w:val="32"/>
          <w:szCs w:val="32"/>
        </w:rPr>
        <w:t>（盖章）</w:t>
      </w:r>
    </w:p>
    <w:p w14:paraId="5E4BCD78">
      <w:pPr>
        <w:pStyle w:val="28"/>
        <w:spacing w:line="360" w:lineRule="auto"/>
        <w:ind w:firstLine="640" w:firstLineChars="200"/>
        <w:rPr>
          <w:rFonts w:ascii="仿宋_GB2312" w:hAnsi="仿宋_GB2312" w:eastAsia="仿宋_GB2312" w:cs="仿宋_GB2312"/>
          <w:color w:val="000000"/>
          <w:sz w:val="32"/>
          <w:szCs w:val="32"/>
          <w:u w:val="single"/>
          <w:lang w:val="zh-CN"/>
        </w:rPr>
      </w:pPr>
      <w:r>
        <w:rPr>
          <w:rFonts w:hint="eastAsia" w:ascii="仿宋_GB2312" w:hAnsi="仿宋_GB2312" w:eastAsia="仿宋_GB2312" w:cs="仿宋_GB2312"/>
          <w:color w:val="000000"/>
          <w:sz w:val="32"/>
          <w:szCs w:val="32"/>
          <w:lang w:val="zh-CN"/>
        </w:rPr>
        <w:t>法定代表人：</w:t>
      </w:r>
      <w:r>
        <w:rPr>
          <w:rFonts w:hint="eastAsia" w:ascii="仿宋_GB2312" w:hAnsi="仿宋_GB2312" w:eastAsia="仿宋_GB2312" w:cs="仿宋_GB2312"/>
          <w:color w:val="000000"/>
          <w:sz w:val="32"/>
          <w:szCs w:val="32"/>
          <w:u w:val="single"/>
          <w:lang w:val="zh-CN"/>
        </w:rPr>
        <w:t>________________________</w:t>
      </w:r>
      <w:r>
        <w:rPr>
          <w:rFonts w:hint="eastAsia" w:ascii="仿宋_GB2312" w:hAnsi="仿宋_GB2312" w:eastAsia="仿宋_GB2312" w:cs="仿宋_GB2312"/>
          <w:color w:val="000000"/>
          <w:sz w:val="32"/>
          <w:szCs w:val="32"/>
          <w:lang w:val="zh-CN"/>
        </w:rPr>
        <w:t>（</w:t>
      </w:r>
      <w:r>
        <w:rPr>
          <w:rFonts w:hint="eastAsia" w:ascii="仿宋_GB2312" w:hAnsi="仿宋_GB2312" w:eastAsia="仿宋_GB2312" w:cs="仿宋_GB2312"/>
          <w:color w:val="000000"/>
          <w:sz w:val="32"/>
          <w:szCs w:val="32"/>
        </w:rPr>
        <w:t>签字或盖章</w:t>
      </w:r>
      <w:r>
        <w:rPr>
          <w:rFonts w:hint="eastAsia" w:ascii="仿宋_GB2312" w:hAnsi="仿宋_GB2312" w:eastAsia="仿宋_GB2312" w:cs="仿宋_GB2312"/>
          <w:color w:val="000000"/>
          <w:sz w:val="32"/>
          <w:szCs w:val="32"/>
          <w:lang w:val="zh-CN"/>
        </w:rPr>
        <w:t>）</w:t>
      </w:r>
    </w:p>
    <w:p w14:paraId="0EE92356">
      <w:pPr>
        <w:pStyle w:val="28"/>
        <w:spacing w:line="360" w:lineRule="auto"/>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u w:val="single"/>
        </w:rPr>
        <w:t>________</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u w:val="single"/>
        </w:rPr>
        <w:t>_____</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u w:val="single"/>
        </w:rPr>
        <w:t>______</w:t>
      </w:r>
      <w:r>
        <w:rPr>
          <w:rFonts w:hint="eastAsia" w:ascii="仿宋_GB2312" w:hAnsi="仿宋_GB2312" w:eastAsia="仿宋_GB2312" w:cs="仿宋_GB2312"/>
          <w:color w:val="000000"/>
          <w:sz w:val="32"/>
          <w:szCs w:val="32"/>
        </w:rPr>
        <w:t>日</w:t>
      </w:r>
      <w:r>
        <w:rPr>
          <w:rFonts w:hint="eastAsia" w:ascii="仿宋_GB2312" w:hAnsi="仿宋_GB2312" w:eastAsia="仿宋_GB2312" w:cs="仿宋_GB2312"/>
          <w:color w:val="000000"/>
          <w:sz w:val="32"/>
          <w:szCs w:val="32"/>
        </w:rPr>
        <w:br w:type="page"/>
      </w:r>
      <w:r>
        <w:rPr>
          <w:rFonts w:hint="eastAsia" w:ascii="仿宋_GB2312" w:hAnsi="仿宋_GB2312" w:eastAsia="仿宋_GB2312" w:cs="仿宋_GB2312"/>
          <w:color w:val="000000"/>
          <w:sz w:val="32"/>
          <w:szCs w:val="32"/>
        </w:rPr>
        <w:t>附件五、</w:t>
      </w:r>
    </w:p>
    <w:p w14:paraId="274B6716">
      <w:pPr>
        <w:pStyle w:val="28"/>
        <w:spacing w:line="360" w:lineRule="auto"/>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其他材料</w:t>
      </w:r>
    </w:p>
    <w:p w14:paraId="30223819">
      <w:pPr>
        <w:numPr>
          <w:ilvl w:val="0"/>
          <w:numId w:val="1"/>
        </w:numPr>
        <w:tabs>
          <w:tab w:val="left" w:pos="7560"/>
        </w:tabs>
        <w:spacing w:beforeLines="50" w:line="360" w:lineRule="auto"/>
        <w:ind w:left="1" w:firstLine="566" w:firstLineChars="177"/>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营业执照副本</w:t>
      </w:r>
      <w:r>
        <w:rPr>
          <w:rFonts w:hint="eastAsia" w:ascii="仿宋_GB2312" w:hAnsi="仿宋_GB2312" w:eastAsia="仿宋_GB2312" w:cs="仿宋_GB2312"/>
          <w:color w:val="000000"/>
          <w:sz w:val="32"/>
          <w:szCs w:val="32"/>
          <w:lang w:eastAsia="zh-CN"/>
        </w:rPr>
        <w:t>复印件</w:t>
      </w:r>
    </w:p>
    <w:p w14:paraId="725F9CE0">
      <w:pPr>
        <w:numPr>
          <w:ilvl w:val="0"/>
          <w:numId w:val="1"/>
        </w:numPr>
        <w:tabs>
          <w:tab w:val="left" w:pos="7560"/>
        </w:tabs>
        <w:spacing w:beforeLines="50" w:line="360" w:lineRule="auto"/>
        <w:ind w:left="1" w:firstLine="566" w:firstLineChars="177"/>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经营保险业务许可证</w:t>
      </w:r>
    </w:p>
    <w:p w14:paraId="44057D15">
      <w:pPr>
        <w:numPr>
          <w:ilvl w:val="0"/>
          <w:numId w:val="1"/>
        </w:numPr>
        <w:tabs>
          <w:tab w:val="left" w:pos="7560"/>
        </w:tabs>
        <w:spacing w:beforeLines="50" w:line="360" w:lineRule="auto"/>
        <w:ind w:left="1" w:firstLine="566" w:firstLineChars="177"/>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服务方案</w:t>
      </w:r>
    </w:p>
    <w:p w14:paraId="5904989B">
      <w:pPr>
        <w:numPr>
          <w:ilvl w:val="0"/>
          <w:numId w:val="1"/>
        </w:numPr>
        <w:tabs>
          <w:tab w:val="left" w:pos="7560"/>
        </w:tabs>
        <w:spacing w:beforeLines="50" w:line="360" w:lineRule="auto"/>
        <w:ind w:left="1" w:firstLine="566" w:firstLineChars="177"/>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增值服务</w:t>
      </w:r>
    </w:p>
    <w:p w14:paraId="0A1AC884">
      <w:pPr>
        <w:numPr>
          <w:ilvl w:val="0"/>
          <w:numId w:val="1"/>
        </w:numPr>
        <w:tabs>
          <w:tab w:val="left" w:pos="7560"/>
        </w:tabs>
        <w:spacing w:beforeLines="50" w:line="360" w:lineRule="auto"/>
        <w:ind w:left="1" w:firstLine="566" w:firstLineChars="177"/>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类似业绩</w:t>
      </w:r>
    </w:p>
    <w:p w14:paraId="445E715A">
      <w:pPr>
        <w:numPr>
          <w:ilvl w:val="0"/>
          <w:numId w:val="1"/>
        </w:numPr>
        <w:tabs>
          <w:tab w:val="left" w:pos="7560"/>
        </w:tabs>
        <w:spacing w:beforeLines="50" w:line="360" w:lineRule="auto"/>
        <w:ind w:left="1" w:firstLine="566" w:firstLineChars="177"/>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竞价人认为需要提交的其他材料（格式自拟）</w:t>
      </w:r>
    </w:p>
    <w:p w14:paraId="062BF334">
      <w:pPr>
        <w:pStyle w:val="2"/>
        <w:rPr>
          <w:rFonts w:ascii="宋体" w:hAnsi="宋体" w:cs="宋体"/>
          <w:szCs w:val="21"/>
        </w:rPr>
      </w:pPr>
    </w:p>
    <w:sectPr>
      <w:headerReference r:id="rId3" w:type="default"/>
      <w:footerReference r:id="rId4" w:type="default"/>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方正粗黑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123669"/>
    <w:multiLevelType w:val="singleLevel"/>
    <w:tmpl w:val="9A123669"/>
    <w:lvl w:ilvl="0" w:tentative="0">
      <w:start w:val="1"/>
      <w:numFmt w:val="decimal"/>
      <w:suff w:val="nothing"/>
      <w:lvlText w:val="%1、"/>
      <w:lvlJc w:val="left"/>
    </w:lvl>
  </w:abstractNum>
  <w:num w:numId="1">
    <w:abstractNumId w:val="0"/>
  </w:num>
</w:numbering>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5af63fea-f0da-444f-b620-91d2f15c7d98</errorID>
      <errorWord>电</errorWord>
      <group>L1_Word</group>
      <groupName>字词问题</groupName>
      <ability>L2_Typo</ability>
      <abilityName>字词错误</abilityName>
      <candidateList>
        <item>电动</item>
      </candidateList>
      <explain/>
      <paraID>61581D20</paraID>
      <start>17</start>
      <end>18</end>
      <status>ignored</status>
      <modifiedWord/>
      <trackRevisions>false</trackRevisions>
    </reviewItem>
    <reviewItem>
      <errorID>7d100165-4a88-4a39-9412-4f75e138172d</errorID>
      <errorWord>中国保险监督管理委员会</errorWord>
      <group>L1_Knowledge</group>
      <groupName>知识性问题</groupName>
      <ability>L2_Organization</ability>
      <abilityName>机构检查</abilityName>
      <candidateList/>
      <explain>2018年3月，中共中央印发了《深化党和国家机构改革方案》，组建中国银行保险监督管理委员会，不再保留中国保险监督管理委员会。2023年9月，中共中央、国务院印发了《党和国家机构改革方案》组建国家金融监督管理总局，不再保留中国银行保险监督管理委员会。</explain>
      <paraID> B194B28</paraID>
      <start>9</start>
      <end>20</end>
      <status>ignored</status>
      <modifiedWord/>
      <trackRevisions>false</trackRevisions>
    </reviewItem>
    <reviewItem>
      <errorID>998e596c-bbd6-4ea5-be04-08a2cf13098b</errorID>
      <errorWord>。</errorWord>
      <group>L1_Punc</group>
      <groupName>标点问题</groupName>
      <ability>L2_Punc</ability>
      <abilityName>标点符号检查</abilityName>
      <candidateList>
        <item/>
      </candidateList>
      <explain>标题文本后不使用标点符号。</explain>
      <paraID>720BD3AD</paraID>
      <start>41</start>
      <end>42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cbbcbc-f1d9-4029-b528-918b513ae764}">
  <ds:schemaRefs/>
</ds:datastoreItem>
</file>